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435E" w14:textId="77777777" w:rsidR="00D750D9" w:rsidRDefault="00D750D9" w:rsidP="00D750D9">
      <w:pPr>
        <w:tabs>
          <w:tab w:val="right" w:pos="9638"/>
        </w:tabs>
        <w:suppressAutoHyphens/>
        <w:ind w:left="6379"/>
        <w:textAlignment w:val="center"/>
        <w:rPr>
          <w:color w:val="000000"/>
          <w:szCs w:val="24"/>
        </w:rPr>
      </w:pPr>
      <w:r>
        <w:rPr>
          <w:color w:val="000000"/>
          <w:szCs w:val="24"/>
        </w:rPr>
        <w:t xml:space="preserve">Energijos sutaupymo susitarimų </w:t>
      </w:r>
    </w:p>
    <w:p w14:paraId="649B3215" w14:textId="77777777" w:rsidR="00D750D9" w:rsidRDefault="00D750D9" w:rsidP="00D750D9">
      <w:pPr>
        <w:tabs>
          <w:tab w:val="right" w:pos="9638"/>
        </w:tabs>
        <w:suppressAutoHyphens/>
        <w:ind w:left="6379"/>
        <w:textAlignment w:val="center"/>
        <w:rPr>
          <w:color w:val="000000"/>
          <w:szCs w:val="24"/>
        </w:rPr>
      </w:pPr>
      <w:r>
        <w:rPr>
          <w:color w:val="000000"/>
          <w:szCs w:val="24"/>
        </w:rPr>
        <w:t>sudarymo tvarkos aprašo</w:t>
      </w:r>
    </w:p>
    <w:p w14:paraId="30DD2DAA" w14:textId="77777777" w:rsidR="00D750D9" w:rsidRDefault="00D750D9" w:rsidP="00D750D9">
      <w:pPr>
        <w:tabs>
          <w:tab w:val="right" w:pos="9638"/>
        </w:tabs>
        <w:suppressAutoHyphens/>
        <w:ind w:left="6379"/>
        <w:textAlignment w:val="center"/>
        <w:rPr>
          <w:color w:val="000000"/>
          <w:szCs w:val="24"/>
        </w:rPr>
      </w:pPr>
      <w:r>
        <w:rPr>
          <w:color w:val="000000"/>
          <w:szCs w:val="24"/>
        </w:rPr>
        <w:t>1 priedas</w:t>
      </w:r>
    </w:p>
    <w:p w14:paraId="302DAB06" w14:textId="77777777" w:rsidR="00D750D9" w:rsidRDefault="00D750D9" w:rsidP="00D750D9">
      <w:pPr>
        <w:tabs>
          <w:tab w:val="right" w:pos="9638"/>
        </w:tabs>
        <w:suppressAutoHyphens/>
        <w:jc w:val="center"/>
        <w:textAlignment w:val="center"/>
        <w:rPr>
          <w:b/>
          <w:color w:val="000000"/>
          <w:szCs w:val="24"/>
        </w:rPr>
      </w:pPr>
    </w:p>
    <w:p w14:paraId="6306DDF8" w14:textId="77777777" w:rsidR="00D750D9" w:rsidRDefault="00D750D9" w:rsidP="00D750D9">
      <w:pPr>
        <w:tabs>
          <w:tab w:val="right" w:pos="9638"/>
        </w:tabs>
        <w:suppressAutoHyphens/>
        <w:jc w:val="center"/>
        <w:textAlignment w:val="center"/>
        <w:rPr>
          <w:b/>
          <w:color w:val="000000"/>
          <w:szCs w:val="24"/>
        </w:rPr>
      </w:pPr>
      <w:r>
        <w:rPr>
          <w:b/>
          <w:color w:val="000000"/>
          <w:szCs w:val="24"/>
        </w:rPr>
        <w:t>(Pavyzdinė energijos sutaupymo susitarimo forma)</w:t>
      </w:r>
    </w:p>
    <w:p w14:paraId="197E564D" w14:textId="77777777" w:rsidR="00D750D9" w:rsidRDefault="00D750D9" w:rsidP="00D750D9">
      <w:pPr>
        <w:tabs>
          <w:tab w:val="right" w:pos="9638"/>
        </w:tabs>
        <w:suppressAutoHyphens/>
        <w:ind w:firstLine="709"/>
        <w:jc w:val="both"/>
        <w:textAlignment w:val="center"/>
        <w:rPr>
          <w:color w:val="000000"/>
          <w:szCs w:val="24"/>
        </w:rPr>
      </w:pPr>
    </w:p>
    <w:p w14:paraId="1EC18E55" w14:textId="77777777" w:rsidR="00D750D9" w:rsidRDefault="00D750D9" w:rsidP="00D750D9">
      <w:pPr>
        <w:tabs>
          <w:tab w:val="right" w:pos="9638"/>
        </w:tabs>
        <w:suppressAutoHyphens/>
        <w:jc w:val="center"/>
        <w:textAlignment w:val="center"/>
        <w:rPr>
          <w:color w:val="000000"/>
          <w:szCs w:val="24"/>
        </w:rPr>
      </w:pPr>
      <w:r>
        <w:rPr>
          <w:b/>
          <w:color w:val="000000"/>
          <w:szCs w:val="24"/>
        </w:rPr>
        <w:t>ENERGIJOS SUTAUPYMO SUSITARIMAS</w:t>
      </w:r>
    </w:p>
    <w:p w14:paraId="027E1BDD" w14:textId="77777777" w:rsidR="00D750D9" w:rsidRDefault="00D750D9" w:rsidP="00D750D9">
      <w:pPr>
        <w:tabs>
          <w:tab w:val="right" w:pos="9638"/>
        </w:tabs>
        <w:suppressAutoHyphens/>
        <w:jc w:val="center"/>
        <w:textAlignment w:val="center"/>
        <w:rPr>
          <w:color w:val="000000"/>
          <w:szCs w:val="24"/>
          <w:u w:val="single"/>
        </w:rPr>
      </w:pPr>
    </w:p>
    <w:p w14:paraId="3AFF9D9D" w14:textId="77777777" w:rsidR="00D750D9" w:rsidRDefault="00D750D9" w:rsidP="00D750D9">
      <w:pPr>
        <w:pBdr>
          <w:top w:val="single" w:sz="4" w:space="1" w:color="auto"/>
        </w:pBdr>
        <w:tabs>
          <w:tab w:val="right" w:pos="6379"/>
        </w:tabs>
        <w:suppressAutoHyphens/>
        <w:ind w:left="3119" w:right="3117"/>
        <w:jc w:val="center"/>
        <w:textAlignment w:val="center"/>
        <w:rPr>
          <w:color w:val="000000"/>
          <w:szCs w:val="24"/>
        </w:rPr>
      </w:pPr>
      <w:r>
        <w:rPr>
          <w:color w:val="000000"/>
          <w:szCs w:val="24"/>
        </w:rPr>
        <w:t>(data ir numeris)</w:t>
      </w:r>
    </w:p>
    <w:p w14:paraId="7B4E6FF1" w14:textId="77777777" w:rsidR="00D750D9" w:rsidRDefault="00D750D9" w:rsidP="00D750D9">
      <w:pPr>
        <w:tabs>
          <w:tab w:val="right" w:pos="6379"/>
        </w:tabs>
        <w:suppressAutoHyphens/>
        <w:ind w:left="3119" w:right="3117"/>
        <w:jc w:val="center"/>
        <w:textAlignment w:val="center"/>
        <w:rPr>
          <w:color w:val="000000"/>
          <w:szCs w:val="24"/>
        </w:rPr>
      </w:pPr>
    </w:p>
    <w:p w14:paraId="0B297494" w14:textId="77777777" w:rsidR="00D750D9" w:rsidRDefault="00D750D9" w:rsidP="00D750D9">
      <w:pPr>
        <w:pBdr>
          <w:top w:val="single" w:sz="4" w:space="1" w:color="auto"/>
        </w:pBdr>
        <w:tabs>
          <w:tab w:val="right" w:pos="6379"/>
        </w:tabs>
        <w:suppressAutoHyphens/>
        <w:ind w:left="3119" w:right="3117"/>
        <w:jc w:val="center"/>
        <w:textAlignment w:val="center"/>
        <w:rPr>
          <w:color w:val="000000"/>
          <w:szCs w:val="24"/>
        </w:rPr>
      </w:pPr>
      <w:r>
        <w:rPr>
          <w:color w:val="000000"/>
          <w:szCs w:val="24"/>
        </w:rPr>
        <w:t>(vieta)</w:t>
      </w:r>
    </w:p>
    <w:p w14:paraId="506A0757" w14:textId="77777777" w:rsidR="00D750D9" w:rsidRDefault="00D750D9" w:rsidP="00D750D9">
      <w:pPr>
        <w:tabs>
          <w:tab w:val="right" w:pos="9638"/>
        </w:tabs>
        <w:suppressAutoHyphens/>
        <w:ind w:firstLine="709"/>
        <w:jc w:val="both"/>
        <w:textAlignment w:val="center"/>
        <w:rPr>
          <w:color w:val="000000"/>
          <w:szCs w:val="24"/>
        </w:rPr>
      </w:pPr>
    </w:p>
    <w:p w14:paraId="0EA86994"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Lietuvos Respublikos energetikos ministerija, kodas 302308327, adresas Gedimino pr. 38, 01104 Vilnius, atstovaujama [</w:t>
      </w:r>
      <w:r>
        <w:rPr>
          <w:i/>
          <w:color w:val="000000"/>
          <w:szCs w:val="24"/>
        </w:rPr>
        <w:t>pareigos, vardas, pavardė</w:t>
      </w:r>
      <w:r>
        <w:rPr>
          <w:color w:val="000000"/>
          <w:szCs w:val="24"/>
        </w:rPr>
        <w:t>], veikiančio pagal [nurodomas atstovavimo pagrindas (įstaigos nuostatai, įgaliojimas ar kt.)]  (toliau – Energetikos ministerija), ir [</w:t>
      </w:r>
      <w:r>
        <w:rPr>
          <w:i/>
          <w:color w:val="000000"/>
          <w:szCs w:val="24"/>
        </w:rPr>
        <w:t>energetikos įmonės pavadinimas</w:t>
      </w:r>
      <w:r>
        <w:rPr>
          <w:color w:val="000000"/>
          <w:szCs w:val="24"/>
        </w:rPr>
        <w:t>], kodas [</w:t>
      </w:r>
      <w:r>
        <w:rPr>
          <w:i/>
          <w:color w:val="000000"/>
          <w:szCs w:val="24"/>
        </w:rPr>
        <w:t>...</w:t>
      </w:r>
      <w:r>
        <w:rPr>
          <w:color w:val="000000"/>
          <w:szCs w:val="24"/>
        </w:rPr>
        <w:t>], adresas [</w:t>
      </w:r>
      <w:r>
        <w:rPr>
          <w:i/>
          <w:color w:val="000000"/>
          <w:szCs w:val="24"/>
        </w:rPr>
        <w:t>buveinės adresas</w:t>
      </w:r>
      <w:r>
        <w:rPr>
          <w:color w:val="000000"/>
          <w:szCs w:val="24"/>
        </w:rPr>
        <w:t>], atstovaujama [</w:t>
      </w:r>
      <w:r>
        <w:rPr>
          <w:i/>
          <w:color w:val="000000"/>
          <w:szCs w:val="24"/>
        </w:rPr>
        <w:t>pareigos, vardas, pavardė</w:t>
      </w:r>
      <w:r>
        <w:rPr>
          <w:color w:val="000000"/>
          <w:szCs w:val="24"/>
        </w:rPr>
        <w:t>], [nurodomas atstovavimo pagrindas (įmonės įstatai, įgaliojimas ar kt.)] (toliau – Įmonė), toliau kartu vadinamos Šalimis, o kiekviena atskirai – Šalimi, vadovaudamosi Lietuvos Respublikos energijos vartojimo efektyvumo didinimo įstatymo 9 straipsnio nuostatomis ir Energijos sutaupymo susitarimų sudarymo tvarkos aprašu, patvirtintu Lietuvos Respublikos energetikos ministro 2017 m. liepos 14 d. įsakymu Nr. 1-187 „Dėl Energijos sutaupymo susitarimų sudarymo tvarkos aprašo patvirtinimo“ (toliau – Aprašas), sudaro šį energijos sutaupymo susitarimą (toliau – Susitarimas):</w:t>
      </w:r>
    </w:p>
    <w:p w14:paraId="6DE7057D" w14:textId="77777777" w:rsidR="00D750D9" w:rsidRDefault="00D750D9" w:rsidP="00D750D9">
      <w:pPr>
        <w:tabs>
          <w:tab w:val="right" w:pos="9638"/>
        </w:tabs>
        <w:suppressAutoHyphens/>
        <w:jc w:val="center"/>
        <w:textAlignment w:val="center"/>
        <w:rPr>
          <w:b/>
          <w:color w:val="000000"/>
          <w:szCs w:val="24"/>
        </w:rPr>
      </w:pPr>
      <w:r>
        <w:rPr>
          <w:b/>
          <w:color w:val="000000"/>
          <w:szCs w:val="24"/>
        </w:rPr>
        <w:t>I SKYRIUS</w:t>
      </w:r>
    </w:p>
    <w:p w14:paraId="52CA8B7D" w14:textId="77777777" w:rsidR="00D750D9" w:rsidRDefault="00D750D9" w:rsidP="00D750D9">
      <w:pPr>
        <w:tabs>
          <w:tab w:val="right" w:pos="9638"/>
        </w:tabs>
        <w:suppressAutoHyphens/>
        <w:jc w:val="center"/>
        <w:textAlignment w:val="center"/>
        <w:rPr>
          <w:b/>
          <w:color w:val="000000"/>
          <w:szCs w:val="24"/>
        </w:rPr>
      </w:pPr>
      <w:r>
        <w:rPr>
          <w:b/>
          <w:color w:val="000000"/>
          <w:szCs w:val="24"/>
        </w:rPr>
        <w:t>SUSITARIMO DALYKAS</w:t>
      </w:r>
    </w:p>
    <w:p w14:paraId="3F5616A6" w14:textId="77777777" w:rsidR="00D750D9" w:rsidRDefault="00D750D9" w:rsidP="00D750D9">
      <w:pPr>
        <w:tabs>
          <w:tab w:val="right" w:pos="9638"/>
        </w:tabs>
        <w:suppressAutoHyphens/>
        <w:ind w:firstLine="709"/>
        <w:jc w:val="both"/>
        <w:textAlignment w:val="center"/>
        <w:rPr>
          <w:color w:val="000000"/>
          <w:szCs w:val="24"/>
        </w:rPr>
      </w:pPr>
    </w:p>
    <w:p w14:paraId="64AFA8C8"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 xml:space="preserve">1. Įmonė tiesiogiai pati arba per kitus asmenis inicijuoja ir (ar) dalyvauja įgyvendinant energijos vartojimo efektyvumo didinimo priemones pas galutinius vartotojus (toliau – taupymo priemonės) ir įsipareigoja iki 2030 m. gruodžio 31 d. sutaupyti [...] </w:t>
      </w:r>
      <w:proofErr w:type="spellStart"/>
      <w:r>
        <w:rPr>
          <w:color w:val="000000"/>
          <w:szCs w:val="24"/>
        </w:rPr>
        <w:t>GWh</w:t>
      </w:r>
      <w:proofErr w:type="spellEnd"/>
      <w:r>
        <w:rPr>
          <w:color w:val="000000"/>
          <w:szCs w:val="24"/>
        </w:rPr>
        <w:t xml:space="preserve"> galutinės energijos (toliau – energija) skaičiuojant  paprastuoju suminiu/akumuliaciniu suminiu </w:t>
      </w:r>
      <w:r>
        <w:rPr>
          <w:i/>
          <w:iCs/>
          <w:color w:val="000000"/>
          <w:szCs w:val="24"/>
        </w:rPr>
        <w:t xml:space="preserve">(nereikalingą išbraukti) </w:t>
      </w:r>
      <w:r>
        <w:rPr>
          <w:color w:val="000000"/>
          <w:szCs w:val="24"/>
        </w:rPr>
        <w:t>metodu</w:t>
      </w:r>
      <w:r>
        <w:rPr>
          <w:b/>
          <w:bCs/>
          <w:i/>
          <w:iCs/>
          <w:color w:val="000000"/>
          <w:szCs w:val="24"/>
        </w:rPr>
        <w:t xml:space="preserve"> </w:t>
      </w:r>
      <w:r>
        <w:rPr>
          <w:color w:val="000000"/>
          <w:szCs w:val="24"/>
        </w:rPr>
        <w:t>galutinių vartotojų įrenginiuose ir (ar) objektuose.</w:t>
      </w:r>
    </w:p>
    <w:p w14:paraId="41EAEFA0"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2. Preliminarus galutinės</w:t>
      </w:r>
      <w:r>
        <w:rPr>
          <w:b/>
          <w:bCs/>
          <w:color w:val="000000"/>
          <w:szCs w:val="24"/>
        </w:rPr>
        <w:t xml:space="preserve"> </w:t>
      </w:r>
      <w:r>
        <w:rPr>
          <w:color w:val="000000"/>
          <w:szCs w:val="24"/>
        </w:rPr>
        <w:t>energijos taupymo grafikas:</w:t>
      </w:r>
    </w:p>
    <w:tbl>
      <w:tblPr>
        <w:tblW w:w="9651" w:type="dxa"/>
        <w:tblLook w:val="04A0" w:firstRow="1" w:lastRow="0" w:firstColumn="1" w:lastColumn="0" w:noHBand="0" w:noVBand="1"/>
      </w:tblPr>
      <w:tblGrid>
        <w:gridCol w:w="879"/>
        <w:gridCol w:w="880"/>
        <w:gridCol w:w="876"/>
        <w:gridCol w:w="877"/>
        <w:gridCol w:w="877"/>
        <w:gridCol w:w="876"/>
        <w:gridCol w:w="876"/>
        <w:gridCol w:w="876"/>
        <w:gridCol w:w="876"/>
        <w:gridCol w:w="882"/>
        <w:gridCol w:w="876"/>
      </w:tblGrid>
      <w:tr w:rsidR="00D750D9" w14:paraId="33401E71" w14:textId="77777777" w:rsidTr="00663E62">
        <w:trPr>
          <w:trHeight w:val="261"/>
        </w:trPr>
        <w:tc>
          <w:tcPr>
            <w:tcW w:w="988"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6CF7A756" w14:textId="77777777" w:rsidR="00D750D9" w:rsidRDefault="00D750D9" w:rsidP="00663E62">
            <w:pPr>
              <w:jc w:val="center"/>
              <w:rPr>
                <w:b/>
                <w:bCs/>
                <w:color w:val="000000"/>
                <w:sz w:val="22"/>
                <w:szCs w:val="22"/>
                <w:lang w:eastAsia="lt-LT"/>
              </w:rPr>
            </w:pPr>
            <w:r>
              <w:rPr>
                <w:b/>
                <w:bCs/>
                <w:color w:val="000000"/>
                <w:sz w:val="22"/>
                <w:szCs w:val="22"/>
                <w:lang w:eastAsia="lt-LT"/>
              </w:rPr>
              <w:t xml:space="preserve">2021 </w:t>
            </w:r>
          </w:p>
          <w:p w14:paraId="73DB82C1" w14:textId="77777777" w:rsidR="00D750D9" w:rsidRDefault="00D750D9" w:rsidP="00663E62">
            <w:pPr>
              <w:jc w:val="center"/>
              <w:rPr>
                <w:b/>
                <w:bCs/>
                <w:color w:val="000000"/>
                <w:sz w:val="22"/>
                <w:szCs w:val="22"/>
                <w:lang w:eastAsia="lt-LT"/>
              </w:rPr>
            </w:pPr>
            <w:r>
              <w:rPr>
                <w:b/>
                <w:bCs/>
                <w:color w:val="000000"/>
                <w:sz w:val="22"/>
                <w:szCs w:val="22"/>
                <w:lang w:eastAsia="lt-LT"/>
              </w:rPr>
              <w:t>m.</w:t>
            </w:r>
          </w:p>
          <w:p w14:paraId="47341156" w14:textId="77777777" w:rsidR="00D750D9" w:rsidRDefault="00D750D9" w:rsidP="00663E62">
            <w:pPr>
              <w:jc w:val="center"/>
              <w:rPr>
                <w:b/>
                <w:bCs/>
                <w:color w:val="000000"/>
                <w:sz w:val="22"/>
                <w:szCs w:val="22"/>
                <w:lang w:eastAsia="lt-LT"/>
              </w:rPr>
            </w:pPr>
            <w:r>
              <w:rPr>
                <w:b/>
                <w:bCs/>
                <w:color w:val="000000"/>
                <w:sz w:val="22"/>
                <w:szCs w:val="22"/>
                <w:lang w:eastAsia="lt-LT"/>
              </w:rPr>
              <w:t>(</w:t>
            </w:r>
            <w:proofErr w:type="spellStart"/>
            <w:r>
              <w:rPr>
                <w:b/>
                <w:bCs/>
                <w:color w:val="000000"/>
                <w:sz w:val="22"/>
                <w:szCs w:val="22"/>
                <w:lang w:eastAsia="lt-LT"/>
              </w:rPr>
              <w:t>GWh</w:t>
            </w:r>
            <w:proofErr w:type="spellEnd"/>
            <w:r>
              <w:rPr>
                <w:b/>
                <w:bCs/>
                <w:color w:val="000000"/>
                <w:sz w:val="22"/>
                <w:szCs w:val="22"/>
                <w:lang w:eastAsia="lt-LT"/>
              </w:rPr>
              <w:t>)</w:t>
            </w:r>
          </w:p>
        </w:tc>
        <w:tc>
          <w:tcPr>
            <w:tcW w:w="1020" w:type="dxa"/>
            <w:tcBorders>
              <w:top w:val="single" w:sz="4" w:space="0" w:color="auto"/>
              <w:left w:val="nil"/>
              <w:bottom w:val="single" w:sz="4" w:space="0" w:color="auto"/>
              <w:right w:val="single" w:sz="4" w:space="0" w:color="auto"/>
            </w:tcBorders>
            <w:shd w:val="clear" w:color="000000" w:fill="DBDBDB"/>
            <w:vAlign w:val="center"/>
            <w:hideMark/>
          </w:tcPr>
          <w:p w14:paraId="3389E763" w14:textId="77777777" w:rsidR="00D750D9" w:rsidRDefault="00D750D9" w:rsidP="00663E62">
            <w:pPr>
              <w:jc w:val="center"/>
              <w:rPr>
                <w:b/>
                <w:bCs/>
                <w:color w:val="000000"/>
                <w:sz w:val="22"/>
                <w:szCs w:val="22"/>
                <w:lang w:eastAsia="lt-LT"/>
              </w:rPr>
            </w:pPr>
            <w:r>
              <w:rPr>
                <w:b/>
                <w:bCs/>
                <w:color w:val="000000"/>
                <w:sz w:val="22"/>
                <w:szCs w:val="22"/>
                <w:lang w:eastAsia="lt-LT"/>
              </w:rPr>
              <w:t xml:space="preserve">2022 </w:t>
            </w:r>
          </w:p>
          <w:p w14:paraId="4C7E7DF5" w14:textId="77777777" w:rsidR="00D750D9" w:rsidRDefault="00D750D9" w:rsidP="00663E62">
            <w:pPr>
              <w:jc w:val="center"/>
              <w:rPr>
                <w:b/>
                <w:bCs/>
                <w:color w:val="000000"/>
                <w:sz w:val="22"/>
                <w:szCs w:val="22"/>
                <w:lang w:eastAsia="lt-LT"/>
              </w:rPr>
            </w:pPr>
            <w:r>
              <w:rPr>
                <w:b/>
                <w:bCs/>
                <w:color w:val="000000"/>
                <w:sz w:val="22"/>
                <w:szCs w:val="22"/>
                <w:lang w:eastAsia="lt-LT"/>
              </w:rPr>
              <w:t>m. (</w:t>
            </w:r>
            <w:proofErr w:type="spellStart"/>
            <w:r>
              <w:rPr>
                <w:b/>
                <w:bCs/>
                <w:color w:val="000000"/>
                <w:sz w:val="22"/>
                <w:szCs w:val="22"/>
                <w:lang w:eastAsia="lt-LT"/>
              </w:rPr>
              <w:t>GWh</w:t>
            </w:r>
            <w:proofErr w:type="spellEnd"/>
            <w:r>
              <w:rPr>
                <w:b/>
                <w:bCs/>
                <w:color w:val="000000"/>
                <w:sz w:val="22"/>
                <w:szCs w:val="22"/>
                <w:lang w:eastAsia="lt-LT"/>
              </w:rPr>
              <w:t>)</w:t>
            </w:r>
          </w:p>
        </w:tc>
        <w:tc>
          <w:tcPr>
            <w:tcW w:w="810" w:type="dxa"/>
            <w:tcBorders>
              <w:top w:val="single" w:sz="4" w:space="0" w:color="auto"/>
              <w:left w:val="nil"/>
              <w:bottom w:val="single" w:sz="4" w:space="0" w:color="auto"/>
              <w:right w:val="single" w:sz="4" w:space="0" w:color="auto"/>
            </w:tcBorders>
            <w:shd w:val="clear" w:color="000000" w:fill="DBDBDB"/>
            <w:vAlign w:val="center"/>
            <w:hideMark/>
          </w:tcPr>
          <w:p w14:paraId="2BB2F44D" w14:textId="77777777" w:rsidR="00D750D9" w:rsidRDefault="00D750D9" w:rsidP="00663E62">
            <w:pPr>
              <w:jc w:val="center"/>
              <w:rPr>
                <w:b/>
                <w:bCs/>
                <w:color w:val="000000"/>
                <w:sz w:val="22"/>
                <w:szCs w:val="22"/>
                <w:lang w:eastAsia="lt-LT"/>
              </w:rPr>
            </w:pPr>
            <w:r>
              <w:rPr>
                <w:b/>
                <w:bCs/>
                <w:color w:val="000000"/>
                <w:sz w:val="22"/>
                <w:szCs w:val="22"/>
                <w:lang w:eastAsia="lt-LT"/>
              </w:rPr>
              <w:t>2023 m. (</w:t>
            </w:r>
            <w:proofErr w:type="spellStart"/>
            <w:r>
              <w:rPr>
                <w:b/>
                <w:bCs/>
                <w:color w:val="000000"/>
                <w:sz w:val="22"/>
                <w:szCs w:val="22"/>
                <w:lang w:eastAsia="lt-LT"/>
              </w:rPr>
              <w:t>GWh</w:t>
            </w:r>
            <w:proofErr w:type="spellEnd"/>
            <w:r>
              <w:rPr>
                <w:b/>
                <w:bCs/>
                <w:color w:val="000000"/>
                <w:sz w:val="22"/>
                <w:szCs w:val="22"/>
                <w:lang w:eastAsia="lt-LT"/>
              </w:rPr>
              <w:t>)</w:t>
            </w:r>
          </w:p>
        </w:tc>
        <w:tc>
          <w:tcPr>
            <w:tcW w:w="894" w:type="dxa"/>
            <w:tcBorders>
              <w:top w:val="single" w:sz="4" w:space="0" w:color="auto"/>
              <w:left w:val="nil"/>
              <w:bottom w:val="single" w:sz="4" w:space="0" w:color="auto"/>
              <w:right w:val="single" w:sz="4" w:space="0" w:color="auto"/>
            </w:tcBorders>
            <w:shd w:val="clear" w:color="000000" w:fill="DBDBDB"/>
            <w:vAlign w:val="center"/>
            <w:hideMark/>
          </w:tcPr>
          <w:p w14:paraId="0B52EEB7" w14:textId="77777777" w:rsidR="00D750D9" w:rsidRDefault="00D750D9" w:rsidP="00663E62">
            <w:pPr>
              <w:jc w:val="center"/>
              <w:rPr>
                <w:b/>
                <w:bCs/>
                <w:color w:val="000000"/>
                <w:sz w:val="22"/>
                <w:szCs w:val="22"/>
                <w:lang w:eastAsia="lt-LT"/>
              </w:rPr>
            </w:pPr>
            <w:r>
              <w:rPr>
                <w:b/>
                <w:bCs/>
                <w:color w:val="000000"/>
                <w:sz w:val="22"/>
                <w:szCs w:val="22"/>
                <w:lang w:eastAsia="lt-LT"/>
              </w:rPr>
              <w:t>2024 m. (</w:t>
            </w:r>
            <w:proofErr w:type="spellStart"/>
            <w:r>
              <w:rPr>
                <w:b/>
                <w:bCs/>
                <w:color w:val="000000"/>
                <w:sz w:val="22"/>
                <w:szCs w:val="22"/>
                <w:lang w:eastAsia="lt-LT"/>
              </w:rPr>
              <w:t>GWh</w:t>
            </w:r>
            <w:proofErr w:type="spellEnd"/>
            <w:r>
              <w:rPr>
                <w:b/>
                <w:bCs/>
                <w:color w:val="000000"/>
                <w:sz w:val="22"/>
                <w:szCs w:val="22"/>
                <w:lang w:eastAsia="lt-LT"/>
              </w:rPr>
              <w:t>)</w:t>
            </w:r>
          </w:p>
        </w:tc>
        <w:tc>
          <w:tcPr>
            <w:tcW w:w="894" w:type="dxa"/>
            <w:tcBorders>
              <w:top w:val="single" w:sz="4" w:space="0" w:color="auto"/>
              <w:left w:val="nil"/>
              <w:bottom w:val="single" w:sz="4" w:space="0" w:color="auto"/>
              <w:right w:val="single" w:sz="4" w:space="0" w:color="auto"/>
            </w:tcBorders>
            <w:shd w:val="clear" w:color="000000" w:fill="DBDBDB"/>
            <w:vAlign w:val="center"/>
            <w:hideMark/>
          </w:tcPr>
          <w:p w14:paraId="079C9390" w14:textId="77777777" w:rsidR="00D750D9" w:rsidRDefault="00D750D9" w:rsidP="00663E62">
            <w:pPr>
              <w:jc w:val="center"/>
              <w:rPr>
                <w:b/>
                <w:bCs/>
                <w:color w:val="000000"/>
                <w:sz w:val="22"/>
                <w:szCs w:val="22"/>
                <w:lang w:eastAsia="lt-LT"/>
              </w:rPr>
            </w:pPr>
            <w:r>
              <w:rPr>
                <w:b/>
                <w:bCs/>
                <w:color w:val="000000"/>
                <w:sz w:val="22"/>
                <w:szCs w:val="22"/>
                <w:lang w:eastAsia="lt-LT"/>
              </w:rPr>
              <w:t>2025 m. (</w:t>
            </w:r>
            <w:proofErr w:type="spellStart"/>
            <w:r>
              <w:rPr>
                <w:b/>
                <w:bCs/>
                <w:color w:val="000000"/>
                <w:sz w:val="22"/>
                <w:szCs w:val="22"/>
                <w:lang w:eastAsia="lt-LT"/>
              </w:rPr>
              <w:t>GWh</w:t>
            </w:r>
            <w:proofErr w:type="spellEnd"/>
            <w:r>
              <w:rPr>
                <w:b/>
                <w:bCs/>
                <w:color w:val="000000"/>
                <w:sz w:val="22"/>
                <w:szCs w:val="22"/>
                <w:lang w:eastAsia="lt-LT"/>
              </w:rPr>
              <w:t>)</w:t>
            </w:r>
          </w:p>
        </w:tc>
        <w:tc>
          <w:tcPr>
            <w:tcW w:w="810" w:type="dxa"/>
            <w:tcBorders>
              <w:top w:val="single" w:sz="4" w:space="0" w:color="auto"/>
              <w:left w:val="nil"/>
              <w:bottom w:val="single" w:sz="4" w:space="0" w:color="auto"/>
              <w:right w:val="single" w:sz="4" w:space="0" w:color="auto"/>
            </w:tcBorders>
            <w:shd w:val="clear" w:color="000000" w:fill="DBDBDB"/>
            <w:vAlign w:val="center"/>
            <w:hideMark/>
          </w:tcPr>
          <w:p w14:paraId="1CD5ADD1" w14:textId="77777777" w:rsidR="00D750D9" w:rsidRDefault="00D750D9" w:rsidP="00663E62">
            <w:pPr>
              <w:jc w:val="center"/>
              <w:rPr>
                <w:b/>
                <w:bCs/>
                <w:color w:val="000000"/>
                <w:sz w:val="22"/>
                <w:szCs w:val="22"/>
                <w:lang w:eastAsia="lt-LT"/>
              </w:rPr>
            </w:pPr>
            <w:r>
              <w:rPr>
                <w:b/>
                <w:bCs/>
                <w:color w:val="000000"/>
                <w:sz w:val="22"/>
                <w:szCs w:val="22"/>
                <w:lang w:eastAsia="lt-LT"/>
              </w:rPr>
              <w:t>2026 m. (</w:t>
            </w:r>
            <w:proofErr w:type="spellStart"/>
            <w:r>
              <w:rPr>
                <w:b/>
                <w:bCs/>
                <w:color w:val="000000"/>
                <w:sz w:val="22"/>
                <w:szCs w:val="22"/>
                <w:lang w:eastAsia="lt-LT"/>
              </w:rPr>
              <w:t>GWh</w:t>
            </w:r>
            <w:proofErr w:type="spellEnd"/>
            <w:r>
              <w:rPr>
                <w:b/>
                <w:bCs/>
                <w:color w:val="000000"/>
                <w:sz w:val="22"/>
                <w:szCs w:val="22"/>
                <w:lang w:eastAsia="lt-LT"/>
              </w:rPr>
              <w:t>)</w:t>
            </w:r>
          </w:p>
        </w:tc>
        <w:tc>
          <w:tcPr>
            <w:tcW w:w="810" w:type="dxa"/>
            <w:tcBorders>
              <w:top w:val="single" w:sz="4" w:space="0" w:color="auto"/>
              <w:left w:val="nil"/>
              <w:bottom w:val="single" w:sz="4" w:space="0" w:color="auto"/>
              <w:right w:val="single" w:sz="4" w:space="0" w:color="auto"/>
            </w:tcBorders>
            <w:shd w:val="clear" w:color="000000" w:fill="DBDBDB"/>
            <w:vAlign w:val="center"/>
            <w:hideMark/>
          </w:tcPr>
          <w:p w14:paraId="4C79EEBC" w14:textId="77777777" w:rsidR="00D750D9" w:rsidRDefault="00D750D9" w:rsidP="00663E62">
            <w:pPr>
              <w:jc w:val="center"/>
              <w:rPr>
                <w:b/>
                <w:bCs/>
                <w:color w:val="000000"/>
                <w:sz w:val="22"/>
                <w:szCs w:val="22"/>
                <w:lang w:eastAsia="lt-LT"/>
              </w:rPr>
            </w:pPr>
            <w:r>
              <w:rPr>
                <w:b/>
                <w:bCs/>
                <w:color w:val="000000"/>
                <w:sz w:val="22"/>
                <w:szCs w:val="22"/>
                <w:lang w:eastAsia="lt-LT"/>
              </w:rPr>
              <w:t>2027</w:t>
            </w:r>
          </w:p>
          <w:p w14:paraId="7CC88AE5" w14:textId="77777777" w:rsidR="00D750D9" w:rsidRDefault="00D750D9" w:rsidP="00663E62">
            <w:pPr>
              <w:jc w:val="center"/>
              <w:rPr>
                <w:b/>
                <w:bCs/>
                <w:color w:val="000000"/>
                <w:sz w:val="22"/>
                <w:szCs w:val="22"/>
                <w:lang w:eastAsia="lt-LT"/>
              </w:rPr>
            </w:pPr>
            <w:r>
              <w:rPr>
                <w:b/>
                <w:bCs/>
                <w:color w:val="000000"/>
                <w:sz w:val="22"/>
                <w:szCs w:val="22"/>
                <w:lang w:eastAsia="lt-LT"/>
              </w:rPr>
              <w:t>m. (</w:t>
            </w:r>
            <w:proofErr w:type="spellStart"/>
            <w:r>
              <w:rPr>
                <w:b/>
                <w:bCs/>
                <w:color w:val="000000"/>
                <w:sz w:val="22"/>
                <w:szCs w:val="22"/>
                <w:lang w:eastAsia="lt-LT"/>
              </w:rPr>
              <w:t>GWh</w:t>
            </w:r>
            <w:proofErr w:type="spellEnd"/>
            <w:r>
              <w:rPr>
                <w:b/>
                <w:bCs/>
                <w:color w:val="000000"/>
                <w:sz w:val="22"/>
                <w:szCs w:val="22"/>
                <w:lang w:eastAsia="lt-LT"/>
              </w:rPr>
              <w:t>)</w:t>
            </w:r>
          </w:p>
        </w:tc>
        <w:tc>
          <w:tcPr>
            <w:tcW w:w="810" w:type="dxa"/>
            <w:tcBorders>
              <w:top w:val="single" w:sz="4" w:space="0" w:color="auto"/>
              <w:left w:val="nil"/>
              <w:bottom w:val="single" w:sz="4" w:space="0" w:color="auto"/>
              <w:right w:val="single" w:sz="4" w:space="0" w:color="auto"/>
            </w:tcBorders>
            <w:shd w:val="clear" w:color="000000" w:fill="DBDBDB"/>
            <w:vAlign w:val="center"/>
            <w:hideMark/>
          </w:tcPr>
          <w:p w14:paraId="348562E9" w14:textId="77777777" w:rsidR="00D750D9" w:rsidRDefault="00D750D9" w:rsidP="00663E62">
            <w:pPr>
              <w:jc w:val="center"/>
              <w:rPr>
                <w:b/>
                <w:bCs/>
                <w:color w:val="000000"/>
                <w:sz w:val="22"/>
                <w:szCs w:val="22"/>
                <w:lang w:eastAsia="lt-LT"/>
              </w:rPr>
            </w:pPr>
            <w:r>
              <w:rPr>
                <w:b/>
                <w:bCs/>
                <w:color w:val="000000"/>
                <w:sz w:val="22"/>
                <w:szCs w:val="22"/>
                <w:lang w:eastAsia="lt-LT"/>
              </w:rPr>
              <w:t>2028 m. (</w:t>
            </w:r>
            <w:proofErr w:type="spellStart"/>
            <w:r>
              <w:rPr>
                <w:b/>
                <w:bCs/>
                <w:color w:val="000000"/>
                <w:sz w:val="22"/>
                <w:szCs w:val="22"/>
                <w:lang w:eastAsia="lt-LT"/>
              </w:rPr>
              <w:t>GWh</w:t>
            </w:r>
            <w:proofErr w:type="spellEnd"/>
            <w:r>
              <w:rPr>
                <w:b/>
                <w:bCs/>
                <w:color w:val="000000"/>
                <w:sz w:val="22"/>
                <w:szCs w:val="22"/>
                <w:lang w:eastAsia="lt-LT"/>
              </w:rPr>
              <w:t>)</w:t>
            </w:r>
          </w:p>
        </w:tc>
        <w:tc>
          <w:tcPr>
            <w:tcW w:w="742" w:type="dxa"/>
            <w:tcBorders>
              <w:top w:val="single" w:sz="4" w:space="0" w:color="auto"/>
              <w:left w:val="nil"/>
              <w:bottom w:val="single" w:sz="4" w:space="0" w:color="auto"/>
              <w:right w:val="single" w:sz="4" w:space="0" w:color="auto"/>
            </w:tcBorders>
            <w:shd w:val="clear" w:color="000000" w:fill="DBDBDB"/>
            <w:vAlign w:val="center"/>
            <w:hideMark/>
          </w:tcPr>
          <w:p w14:paraId="7C3057E3" w14:textId="77777777" w:rsidR="00D750D9" w:rsidRDefault="00D750D9" w:rsidP="00663E62">
            <w:pPr>
              <w:jc w:val="center"/>
              <w:rPr>
                <w:b/>
                <w:bCs/>
                <w:color w:val="000000"/>
                <w:sz w:val="22"/>
                <w:szCs w:val="22"/>
                <w:lang w:eastAsia="lt-LT"/>
              </w:rPr>
            </w:pPr>
            <w:r>
              <w:rPr>
                <w:b/>
                <w:bCs/>
                <w:color w:val="000000"/>
                <w:sz w:val="22"/>
                <w:szCs w:val="22"/>
                <w:lang w:eastAsia="lt-LT"/>
              </w:rPr>
              <w:t>2029 m. (</w:t>
            </w:r>
            <w:proofErr w:type="spellStart"/>
            <w:r>
              <w:rPr>
                <w:b/>
                <w:bCs/>
                <w:color w:val="000000"/>
                <w:sz w:val="22"/>
                <w:szCs w:val="22"/>
                <w:lang w:eastAsia="lt-LT"/>
              </w:rPr>
              <w:t>GWh</w:t>
            </w:r>
            <w:proofErr w:type="spellEnd"/>
            <w:r>
              <w:rPr>
                <w:b/>
                <w:bCs/>
                <w:color w:val="000000"/>
                <w:sz w:val="22"/>
                <w:szCs w:val="22"/>
                <w:lang w:eastAsia="lt-LT"/>
              </w:rPr>
              <w:t>)</w:t>
            </w:r>
          </w:p>
        </w:tc>
        <w:tc>
          <w:tcPr>
            <w:tcW w:w="1063" w:type="dxa"/>
            <w:tcBorders>
              <w:top w:val="single" w:sz="4" w:space="0" w:color="auto"/>
              <w:left w:val="nil"/>
              <w:bottom w:val="single" w:sz="4" w:space="0" w:color="auto"/>
              <w:right w:val="single" w:sz="4" w:space="0" w:color="auto"/>
            </w:tcBorders>
            <w:shd w:val="clear" w:color="000000" w:fill="DBDBDB"/>
            <w:vAlign w:val="center"/>
            <w:hideMark/>
          </w:tcPr>
          <w:p w14:paraId="65A89819" w14:textId="77777777" w:rsidR="00D750D9" w:rsidRDefault="00D750D9" w:rsidP="00663E62">
            <w:pPr>
              <w:jc w:val="center"/>
              <w:rPr>
                <w:b/>
                <w:bCs/>
                <w:color w:val="000000"/>
                <w:sz w:val="22"/>
                <w:szCs w:val="22"/>
                <w:lang w:eastAsia="lt-LT"/>
              </w:rPr>
            </w:pPr>
            <w:r>
              <w:rPr>
                <w:b/>
                <w:bCs/>
                <w:color w:val="000000"/>
                <w:sz w:val="22"/>
                <w:szCs w:val="22"/>
                <w:lang w:eastAsia="lt-LT"/>
              </w:rPr>
              <w:t>2030</w:t>
            </w:r>
          </w:p>
          <w:p w14:paraId="0FDFE202" w14:textId="77777777" w:rsidR="00D750D9" w:rsidRDefault="00D750D9" w:rsidP="00663E62">
            <w:pPr>
              <w:ind w:firstLine="57"/>
              <w:jc w:val="center"/>
              <w:rPr>
                <w:b/>
                <w:bCs/>
                <w:color w:val="000000"/>
                <w:sz w:val="22"/>
                <w:szCs w:val="22"/>
                <w:lang w:eastAsia="lt-LT"/>
              </w:rPr>
            </w:pPr>
            <w:r>
              <w:rPr>
                <w:b/>
                <w:bCs/>
                <w:color w:val="000000"/>
                <w:sz w:val="22"/>
                <w:szCs w:val="22"/>
                <w:lang w:eastAsia="lt-LT"/>
              </w:rPr>
              <w:t>m. (</w:t>
            </w:r>
            <w:proofErr w:type="spellStart"/>
            <w:r>
              <w:rPr>
                <w:b/>
                <w:bCs/>
                <w:color w:val="000000"/>
                <w:sz w:val="22"/>
                <w:szCs w:val="22"/>
                <w:lang w:eastAsia="lt-LT"/>
              </w:rPr>
              <w:t>GWh</w:t>
            </w:r>
            <w:proofErr w:type="spellEnd"/>
            <w:r>
              <w:rPr>
                <w:b/>
                <w:bCs/>
                <w:color w:val="000000"/>
                <w:sz w:val="22"/>
                <w:szCs w:val="22"/>
                <w:lang w:eastAsia="lt-LT"/>
              </w:rPr>
              <w:t>)</w:t>
            </w:r>
          </w:p>
        </w:tc>
        <w:tc>
          <w:tcPr>
            <w:tcW w:w="810" w:type="dxa"/>
            <w:tcBorders>
              <w:top w:val="single" w:sz="4" w:space="0" w:color="auto"/>
              <w:left w:val="nil"/>
              <w:bottom w:val="single" w:sz="4" w:space="0" w:color="auto"/>
              <w:right w:val="single" w:sz="4" w:space="0" w:color="auto"/>
            </w:tcBorders>
            <w:shd w:val="clear" w:color="000000" w:fill="DBDBDB"/>
            <w:vAlign w:val="center"/>
            <w:hideMark/>
          </w:tcPr>
          <w:p w14:paraId="1AEE21EC" w14:textId="77777777" w:rsidR="00D750D9" w:rsidRDefault="00D750D9" w:rsidP="00663E62">
            <w:pPr>
              <w:jc w:val="center"/>
              <w:rPr>
                <w:b/>
                <w:bCs/>
                <w:sz w:val="22"/>
                <w:szCs w:val="22"/>
                <w:lang w:eastAsia="lt-LT"/>
              </w:rPr>
            </w:pPr>
            <w:r>
              <w:rPr>
                <w:b/>
                <w:bCs/>
                <w:sz w:val="22"/>
                <w:szCs w:val="22"/>
                <w:lang w:eastAsia="lt-LT"/>
              </w:rPr>
              <w:t>VISO</w:t>
            </w:r>
          </w:p>
          <w:p w14:paraId="3C98213E" w14:textId="77777777" w:rsidR="00D750D9" w:rsidRDefault="00D750D9" w:rsidP="00663E62">
            <w:pPr>
              <w:jc w:val="center"/>
              <w:rPr>
                <w:b/>
                <w:bCs/>
                <w:sz w:val="22"/>
                <w:szCs w:val="22"/>
                <w:lang w:eastAsia="lt-LT"/>
              </w:rPr>
            </w:pPr>
            <w:r>
              <w:rPr>
                <w:b/>
                <w:bCs/>
                <w:color w:val="000000"/>
                <w:sz w:val="22"/>
                <w:szCs w:val="22"/>
                <w:lang w:eastAsia="lt-LT"/>
              </w:rPr>
              <w:t>(</w:t>
            </w:r>
            <w:proofErr w:type="spellStart"/>
            <w:r>
              <w:rPr>
                <w:b/>
                <w:bCs/>
                <w:color w:val="000000"/>
                <w:sz w:val="22"/>
                <w:szCs w:val="22"/>
                <w:lang w:eastAsia="lt-LT"/>
              </w:rPr>
              <w:t>GWh</w:t>
            </w:r>
            <w:proofErr w:type="spellEnd"/>
            <w:r>
              <w:rPr>
                <w:b/>
                <w:bCs/>
                <w:color w:val="000000"/>
                <w:sz w:val="22"/>
                <w:szCs w:val="22"/>
                <w:lang w:eastAsia="lt-LT"/>
              </w:rPr>
              <w:t>)</w:t>
            </w:r>
          </w:p>
        </w:tc>
      </w:tr>
      <w:tr w:rsidR="00D750D9" w14:paraId="4D9CEF6A" w14:textId="77777777" w:rsidTr="00663E62">
        <w:trPr>
          <w:trHeight w:val="261"/>
        </w:trPr>
        <w:tc>
          <w:tcPr>
            <w:tcW w:w="988" w:type="dxa"/>
            <w:tcBorders>
              <w:top w:val="nil"/>
              <w:left w:val="single" w:sz="4" w:space="0" w:color="auto"/>
              <w:bottom w:val="single" w:sz="4" w:space="0" w:color="auto"/>
              <w:right w:val="single" w:sz="4" w:space="0" w:color="auto"/>
            </w:tcBorders>
            <w:vAlign w:val="center"/>
            <w:hideMark/>
          </w:tcPr>
          <w:p w14:paraId="3DDCA380" w14:textId="77777777" w:rsidR="00D750D9" w:rsidRDefault="00D750D9" w:rsidP="00663E62">
            <w:pPr>
              <w:ind w:firstLine="57"/>
              <w:jc w:val="center"/>
              <w:rPr>
                <w:sz w:val="22"/>
                <w:szCs w:val="22"/>
                <w:lang w:eastAsia="lt-LT"/>
              </w:rPr>
            </w:pPr>
          </w:p>
        </w:tc>
        <w:tc>
          <w:tcPr>
            <w:tcW w:w="1020" w:type="dxa"/>
            <w:tcBorders>
              <w:top w:val="nil"/>
              <w:left w:val="nil"/>
              <w:bottom w:val="single" w:sz="4" w:space="0" w:color="auto"/>
              <w:right w:val="single" w:sz="4" w:space="0" w:color="auto"/>
            </w:tcBorders>
            <w:vAlign w:val="center"/>
            <w:hideMark/>
          </w:tcPr>
          <w:p w14:paraId="54794628"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4B855282"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54BB273B"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2ADCF2C1"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7959944D"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7C9B4508"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6BB435DF"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7B83907D"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014AFB95"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34A23375" w14:textId="77777777" w:rsidR="00D750D9" w:rsidRDefault="00D750D9" w:rsidP="00663E62">
            <w:pPr>
              <w:ind w:firstLine="57"/>
              <w:jc w:val="center"/>
              <w:rPr>
                <w:b/>
                <w:bCs/>
                <w:sz w:val="22"/>
                <w:szCs w:val="22"/>
                <w:lang w:eastAsia="lt-LT"/>
              </w:rPr>
            </w:pPr>
          </w:p>
        </w:tc>
      </w:tr>
      <w:tr w:rsidR="00D750D9" w14:paraId="27C06B11" w14:textId="77777777" w:rsidTr="00663E62">
        <w:trPr>
          <w:trHeight w:val="261"/>
        </w:trPr>
        <w:tc>
          <w:tcPr>
            <w:tcW w:w="988" w:type="dxa"/>
            <w:tcBorders>
              <w:top w:val="nil"/>
              <w:left w:val="single" w:sz="4" w:space="0" w:color="auto"/>
              <w:bottom w:val="nil"/>
              <w:right w:val="nil"/>
            </w:tcBorders>
            <w:vAlign w:val="center"/>
            <w:hideMark/>
          </w:tcPr>
          <w:p w14:paraId="189987AB" w14:textId="77777777" w:rsidR="00D750D9" w:rsidRDefault="00D750D9" w:rsidP="00663E62">
            <w:pPr>
              <w:ind w:firstLine="57"/>
              <w:jc w:val="center"/>
              <w:rPr>
                <w:sz w:val="22"/>
                <w:szCs w:val="22"/>
                <w:lang w:eastAsia="lt-LT"/>
              </w:rPr>
            </w:pPr>
          </w:p>
        </w:tc>
        <w:tc>
          <w:tcPr>
            <w:tcW w:w="1020" w:type="dxa"/>
            <w:tcBorders>
              <w:top w:val="nil"/>
              <w:left w:val="single" w:sz="4" w:space="0" w:color="auto"/>
              <w:bottom w:val="single" w:sz="4" w:space="0" w:color="auto"/>
              <w:right w:val="single" w:sz="4" w:space="0" w:color="auto"/>
            </w:tcBorders>
            <w:vAlign w:val="center"/>
            <w:hideMark/>
          </w:tcPr>
          <w:p w14:paraId="54F6784C"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E71D8E6"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409AA880"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083F1224"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76A7A82C"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8EB8990"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F090A3E"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38DAB774"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39BCA932"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5B3A4A8" w14:textId="77777777" w:rsidR="00D750D9" w:rsidRDefault="00D750D9" w:rsidP="00663E62">
            <w:pPr>
              <w:ind w:firstLine="57"/>
              <w:jc w:val="center"/>
              <w:rPr>
                <w:b/>
                <w:bCs/>
                <w:sz w:val="22"/>
                <w:szCs w:val="22"/>
                <w:lang w:eastAsia="lt-LT"/>
              </w:rPr>
            </w:pPr>
          </w:p>
        </w:tc>
      </w:tr>
      <w:tr w:rsidR="00D750D9" w14:paraId="74E06A0A" w14:textId="77777777" w:rsidTr="00663E62">
        <w:trPr>
          <w:trHeight w:val="261"/>
        </w:trPr>
        <w:tc>
          <w:tcPr>
            <w:tcW w:w="988" w:type="dxa"/>
            <w:tcBorders>
              <w:top w:val="nil"/>
              <w:left w:val="single" w:sz="4" w:space="0" w:color="auto"/>
              <w:bottom w:val="nil"/>
              <w:right w:val="nil"/>
            </w:tcBorders>
            <w:vAlign w:val="center"/>
            <w:hideMark/>
          </w:tcPr>
          <w:p w14:paraId="1BD84132"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5249E2B8" w14:textId="77777777" w:rsidR="00D750D9" w:rsidRDefault="00D750D9" w:rsidP="00663E62">
            <w:pPr>
              <w:jc w:val="center"/>
              <w:rPr>
                <w:sz w:val="22"/>
                <w:szCs w:val="22"/>
                <w:lang w:eastAsia="lt-LT"/>
              </w:rPr>
            </w:pPr>
          </w:p>
        </w:tc>
        <w:tc>
          <w:tcPr>
            <w:tcW w:w="810" w:type="dxa"/>
            <w:tcBorders>
              <w:top w:val="nil"/>
              <w:left w:val="single" w:sz="4" w:space="0" w:color="auto"/>
              <w:bottom w:val="single" w:sz="4" w:space="0" w:color="auto"/>
              <w:right w:val="single" w:sz="4" w:space="0" w:color="auto"/>
            </w:tcBorders>
            <w:vAlign w:val="center"/>
            <w:hideMark/>
          </w:tcPr>
          <w:p w14:paraId="778B9896"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4169BA56"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101E5B39"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779E5559"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03D27A7"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526EFF0"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11CF7B7E"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5FC1582E"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760BA86" w14:textId="77777777" w:rsidR="00D750D9" w:rsidRDefault="00D750D9" w:rsidP="00663E62">
            <w:pPr>
              <w:ind w:firstLine="57"/>
              <w:jc w:val="center"/>
              <w:rPr>
                <w:b/>
                <w:bCs/>
                <w:sz w:val="22"/>
                <w:szCs w:val="22"/>
                <w:lang w:eastAsia="lt-LT"/>
              </w:rPr>
            </w:pPr>
          </w:p>
        </w:tc>
      </w:tr>
      <w:tr w:rsidR="00D750D9" w14:paraId="42F65FC2" w14:textId="77777777" w:rsidTr="00663E62">
        <w:trPr>
          <w:trHeight w:val="261"/>
        </w:trPr>
        <w:tc>
          <w:tcPr>
            <w:tcW w:w="988" w:type="dxa"/>
            <w:tcBorders>
              <w:top w:val="nil"/>
              <w:left w:val="single" w:sz="4" w:space="0" w:color="auto"/>
              <w:bottom w:val="nil"/>
              <w:right w:val="nil"/>
            </w:tcBorders>
            <w:vAlign w:val="center"/>
            <w:hideMark/>
          </w:tcPr>
          <w:p w14:paraId="6050E6C9"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1AB28F41" w14:textId="77777777" w:rsidR="00D750D9" w:rsidRDefault="00D750D9" w:rsidP="00663E62">
            <w:pPr>
              <w:jc w:val="center"/>
              <w:rPr>
                <w:sz w:val="22"/>
                <w:szCs w:val="22"/>
                <w:lang w:eastAsia="lt-LT"/>
              </w:rPr>
            </w:pPr>
          </w:p>
        </w:tc>
        <w:tc>
          <w:tcPr>
            <w:tcW w:w="810" w:type="dxa"/>
            <w:tcBorders>
              <w:top w:val="nil"/>
              <w:left w:val="nil"/>
              <w:bottom w:val="nil"/>
              <w:right w:val="nil"/>
            </w:tcBorders>
            <w:vAlign w:val="center"/>
            <w:hideMark/>
          </w:tcPr>
          <w:p w14:paraId="4F2E691C" w14:textId="77777777" w:rsidR="00D750D9" w:rsidRDefault="00D750D9" w:rsidP="00663E62">
            <w:pPr>
              <w:jc w:val="center"/>
              <w:rPr>
                <w:sz w:val="20"/>
                <w:lang w:eastAsia="lt-LT"/>
              </w:rPr>
            </w:pPr>
          </w:p>
        </w:tc>
        <w:tc>
          <w:tcPr>
            <w:tcW w:w="894" w:type="dxa"/>
            <w:tcBorders>
              <w:top w:val="nil"/>
              <w:left w:val="single" w:sz="4" w:space="0" w:color="auto"/>
              <w:bottom w:val="single" w:sz="4" w:space="0" w:color="auto"/>
              <w:right w:val="single" w:sz="4" w:space="0" w:color="auto"/>
            </w:tcBorders>
            <w:vAlign w:val="center"/>
            <w:hideMark/>
          </w:tcPr>
          <w:p w14:paraId="42832F5D"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single" w:sz="4" w:space="0" w:color="auto"/>
            </w:tcBorders>
            <w:vAlign w:val="center"/>
            <w:hideMark/>
          </w:tcPr>
          <w:p w14:paraId="3DBCD49B"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103525A3"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61F1A432"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E350508"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230EC8D8"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093BBE25"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53FA4358" w14:textId="77777777" w:rsidR="00D750D9" w:rsidRDefault="00D750D9" w:rsidP="00663E62">
            <w:pPr>
              <w:ind w:firstLine="57"/>
              <w:jc w:val="center"/>
              <w:rPr>
                <w:b/>
                <w:bCs/>
                <w:sz w:val="22"/>
                <w:szCs w:val="22"/>
                <w:lang w:eastAsia="lt-LT"/>
              </w:rPr>
            </w:pPr>
          </w:p>
        </w:tc>
      </w:tr>
      <w:tr w:rsidR="00D750D9" w14:paraId="119BB302" w14:textId="77777777" w:rsidTr="00663E62">
        <w:trPr>
          <w:trHeight w:val="261"/>
        </w:trPr>
        <w:tc>
          <w:tcPr>
            <w:tcW w:w="988" w:type="dxa"/>
            <w:tcBorders>
              <w:top w:val="nil"/>
              <w:left w:val="single" w:sz="4" w:space="0" w:color="auto"/>
              <w:bottom w:val="nil"/>
              <w:right w:val="nil"/>
            </w:tcBorders>
            <w:vAlign w:val="center"/>
            <w:hideMark/>
          </w:tcPr>
          <w:p w14:paraId="00C478B0"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0C5697EF" w14:textId="77777777" w:rsidR="00D750D9" w:rsidRDefault="00D750D9" w:rsidP="00663E62">
            <w:pPr>
              <w:jc w:val="center"/>
              <w:rPr>
                <w:sz w:val="22"/>
                <w:szCs w:val="22"/>
                <w:lang w:eastAsia="lt-LT"/>
              </w:rPr>
            </w:pPr>
          </w:p>
        </w:tc>
        <w:tc>
          <w:tcPr>
            <w:tcW w:w="810" w:type="dxa"/>
            <w:tcBorders>
              <w:top w:val="nil"/>
              <w:left w:val="nil"/>
              <w:bottom w:val="nil"/>
              <w:right w:val="nil"/>
            </w:tcBorders>
            <w:vAlign w:val="center"/>
            <w:hideMark/>
          </w:tcPr>
          <w:p w14:paraId="710F74CE"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7900E507" w14:textId="77777777" w:rsidR="00D750D9" w:rsidRDefault="00D750D9" w:rsidP="00663E62">
            <w:pPr>
              <w:jc w:val="center"/>
              <w:rPr>
                <w:sz w:val="20"/>
                <w:lang w:eastAsia="lt-LT"/>
              </w:rPr>
            </w:pPr>
          </w:p>
        </w:tc>
        <w:tc>
          <w:tcPr>
            <w:tcW w:w="894" w:type="dxa"/>
            <w:tcBorders>
              <w:top w:val="nil"/>
              <w:left w:val="single" w:sz="4" w:space="0" w:color="auto"/>
              <w:bottom w:val="single" w:sz="4" w:space="0" w:color="auto"/>
              <w:right w:val="single" w:sz="4" w:space="0" w:color="auto"/>
            </w:tcBorders>
            <w:vAlign w:val="center"/>
            <w:hideMark/>
          </w:tcPr>
          <w:p w14:paraId="325F2C37"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82FF866"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3359204C"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7D38C2C5"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0595047E"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40DA123E"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8FA9E68" w14:textId="77777777" w:rsidR="00D750D9" w:rsidRDefault="00D750D9" w:rsidP="00663E62">
            <w:pPr>
              <w:ind w:firstLine="57"/>
              <w:jc w:val="center"/>
              <w:rPr>
                <w:b/>
                <w:bCs/>
                <w:sz w:val="22"/>
                <w:szCs w:val="22"/>
                <w:lang w:eastAsia="lt-LT"/>
              </w:rPr>
            </w:pPr>
          </w:p>
        </w:tc>
      </w:tr>
      <w:tr w:rsidR="00D750D9" w14:paraId="7B971E87" w14:textId="77777777" w:rsidTr="00663E62">
        <w:trPr>
          <w:trHeight w:val="261"/>
        </w:trPr>
        <w:tc>
          <w:tcPr>
            <w:tcW w:w="988" w:type="dxa"/>
            <w:tcBorders>
              <w:top w:val="nil"/>
              <w:left w:val="single" w:sz="4" w:space="0" w:color="auto"/>
              <w:bottom w:val="nil"/>
              <w:right w:val="nil"/>
            </w:tcBorders>
            <w:vAlign w:val="center"/>
            <w:hideMark/>
          </w:tcPr>
          <w:p w14:paraId="1D2F022F"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2F73903B" w14:textId="77777777" w:rsidR="00D750D9" w:rsidRDefault="00D750D9" w:rsidP="00663E62">
            <w:pPr>
              <w:jc w:val="center"/>
              <w:rPr>
                <w:sz w:val="22"/>
                <w:szCs w:val="22"/>
                <w:lang w:eastAsia="lt-LT"/>
              </w:rPr>
            </w:pPr>
          </w:p>
        </w:tc>
        <w:tc>
          <w:tcPr>
            <w:tcW w:w="810" w:type="dxa"/>
            <w:tcBorders>
              <w:top w:val="nil"/>
              <w:left w:val="nil"/>
              <w:bottom w:val="nil"/>
              <w:right w:val="nil"/>
            </w:tcBorders>
            <w:vAlign w:val="center"/>
            <w:hideMark/>
          </w:tcPr>
          <w:p w14:paraId="7F70E206"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289C0208"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0406BE82" w14:textId="77777777" w:rsidR="00D750D9" w:rsidRDefault="00D750D9" w:rsidP="00663E62">
            <w:pPr>
              <w:jc w:val="center"/>
              <w:rPr>
                <w:sz w:val="20"/>
                <w:lang w:eastAsia="lt-LT"/>
              </w:rPr>
            </w:pPr>
          </w:p>
        </w:tc>
        <w:tc>
          <w:tcPr>
            <w:tcW w:w="810" w:type="dxa"/>
            <w:tcBorders>
              <w:top w:val="nil"/>
              <w:left w:val="single" w:sz="4" w:space="0" w:color="auto"/>
              <w:bottom w:val="single" w:sz="4" w:space="0" w:color="auto"/>
              <w:right w:val="single" w:sz="4" w:space="0" w:color="auto"/>
            </w:tcBorders>
            <w:vAlign w:val="center"/>
            <w:hideMark/>
          </w:tcPr>
          <w:p w14:paraId="11C72D4A"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21211BDE"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E36DF08"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6A16DF0A"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0A777820"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24480FE9" w14:textId="77777777" w:rsidR="00D750D9" w:rsidRDefault="00D750D9" w:rsidP="00663E62">
            <w:pPr>
              <w:ind w:firstLine="57"/>
              <w:jc w:val="center"/>
              <w:rPr>
                <w:b/>
                <w:bCs/>
                <w:sz w:val="22"/>
                <w:szCs w:val="22"/>
                <w:lang w:eastAsia="lt-LT"/>
              </w:rPr>
            </w:pPr>
          </w:p>
        </w:tc>
      </w:tr>
      <w:tr w:rsidR="00D750D9" w14:paraId="6C31FF27" w14:textId="77777777" w:rsidTr="00663E62">
        <w:trPr>
          <w:trHeight w:val="261"/>
        </w:trPr>
        <w:tc>
          <w:tcPr>
            <w:tcW w:w="988" w:type="dxa"/>
            <w:tcBorders>
              <w:top w:val="nil"/>
              <w:left w:val="single" w:sz="4" w:space="0" w:color="auto"/>
              <w:bottom w:val="nil"/>
              <w:right w:val="nil"/>
            </w:tcBorders>
            <w:vAlign w:val="center"/>
            <w:hideMark/>
          </w:tcPr>
          <w:p w14:paraId="6F7B2CC8"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6371EBB7" w14:textId="77777777" w:rsidR="00D750D9" w:rsidRDefault="00D750D9" w:rsidP="00663E62">
            <w:pPr>
              <w:jc w:val="center"/>
              <w:rPr>
                <w:sz w:val="22"/>
                <w:szCs w:val="22"/>
                <w:lang w:eastAsia="lt-LT"/>
              </w:rPr>
            </w:pPr>
          </w:p>
        </w:tc>
        <w:tc>
          <w:tcPr>
            <w:tcW w:w="810" w:type="dxa"/>
            <w:tcBorders>
              <w:top w:val="nil"/>
              <w:left w:val="nil"/>
              <w:bottom w:val="nil"/>
              <w:right w:val="nil"/>
            </w:tcBorders>
            <w:vAlign w:val="center"/>
            <w:hideMark/>
          </w:tcPr>
          <w:p w14:paraId="246CBD73"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7AACA2D1"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4BEF150D" w14:textId="77777777" w:rsidR="00D750D9" w:rsidRDefault="00D750D9" w:rsidP="00663E62">
            <w:pPr>
              <w:jc w:val="center"/>
              <w:rPr>
                <w:sz w:val="20"/>
                <w:lang w:eastAsia="lt-LT"/>
              </w:rPr>
            </w:pPr>
          </w:p>
        </w:tc>
        <w:tc>
          <w:tcPr>
            <w:tcW w:w="810" w:type="dxa"/>
            <w:tcBorders>
              <w:top w:val="nil"/>
              <w:left w:val="nil"/>
              <w:bottom w:val="nil"/>
              <w:right w:val="nil"/>
            </w:tcBorders>
            <w:vAlign w:val="center"/>
            <w:hideMark/>
          </w:tcPr>
          <w:p w14:paraId="2E076792" w14:textId="77777777" w:rsidR="00D750D9" w:rsidRDefault="00D750D9" w:rsidP="00663E62">
            <w:pPr>
              <w:jc w:val="center"/>
              <w:rPr>
                <w:sz w:val="20"/>
                <w:lang w:eastAsia="lt-LT"/>
              </w:rPr>
            </w:pPr>
          </w:p>
        </w:tc>
        <w:tc>
          <w:tcPr>
            <w:tcW w:w="810" w:type="dxa"/>
            <w:tcBorders>
              <w:top w:val="nil"/>
              <w:left w:val="single" w:sz="4" w:space="0" w:color="auto"/>
              <w:bottom w:val="single" w:sz="4" w:space="0" w:color="auto"/>
              <w:right w:val="single" w:sz="4" w:space="0" w:color="auto"/>
            </w:tcBorders>
            <w:vAlign w:val="center"/>
            <w:hideMark/>
          </w:tcPr>
          <w:p w14:paraId="6D1D0954"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DFBCBB0"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0FC1CF45"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1939439D"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44E3A4B1" w14:textId="77777777" w:rsidR="00D750D9" w:rsidRDefault="00D750D9" w:rsidP="00663E62">
            <w:pPr>
              <w:ind w:firstLine="57"/>
              <w:jc w:val="center"/>
              <w:rPr>
                <w:b/>
                <w:bCs/>
                <w:sz w:val="22"/>
                <w:szCs w:val="22"/>
                <w:lang w:eastAsia="lt-LT"/>
              </w:rPr>
            </w:pPr>
          </w:p>
        </w:tc>
      </w:tr>
      <w:tr w:rsidR="00D750D9" w14:paraId="4DAB64F6" w14:textId="77777777" w:rsidTr="00663E62">
        <w:trPr>
          <w:trHeight w:val="261"/>
        </w:trPr>
        <w:tc>
          <w:tcPr>
            <w:tcW w:w="988" w:type="dxa"/>
            <w:tcBorders>
              <w:top w:val="nil"/>
              <w:left w:val="single" w:sz="4" w:space="0" w:color="auto"/>
              <w:bottom w:val="nil"/>
              <w:right w:val="nil"/>
            </w:tcBorders>
            <w:vAlign w:val="center"/>
            <w:hideMark/>
          </w:tcPr>
          <w:p w14:paraId="551667BD"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57969F24" w14:textId="77777777" w:rsidR="00D750D9" w:rsidRDefault="00D750D9" w:rsidP="00663E62">
            <w:pPr>
              <w:jc w:val="center"/>
              <w:rPr>
                <w:sz w:val="22"/>
                <w:szCs w:val="22"/>
                <w:lang w:eastAsia="lt-LT"/>
              </w:rPr>
            </w:pPr>
          </w:p>
        </w:tc>
        <w:tc>
          <w:tcPr>
            <w:tcW w:w="810" w:type="dxa"/>
            <w:tcBorders>
              <w:top w:val="nil"/>
              <w:left w:val="nil"/>
              <w:bottom w:val="nil"/>
              <w:right w:val="nil"/>
            </w:tcBorders>
            <w:vAlign w:val="center"/>
            <w:hideMark/>
          </w:tcPr>
          <w:p w14:paraId="48640DFB"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41793139"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616225C8" w14:textId="77777777" w:rsidR="00D750D9" w:rsidRDefault="00D750D9" w:rsidP="00663E62">
            <w:pPr>
              <w:jc w:val="center"/>
              <w:rPr>
                <w:sz w:val="20"/>
                <w:lang w:eastAsia="lt-LT"/>
              </w:rPr>
            </w:pPr>
          </w:p>
        </w:tc>
        <w:tc>
          <w:tcPr>
            <w:tcW w:w="810" w:type="dxa"/>
            <w:tcBorders>
              <w:top w:val="nil"/>
              <w:left w:val="nil"/>
              <w:bottom w:val="nil"/>
              <w:right w:val="nil"/>
            </w:tcBorders>
            <w:vAlign w:val="center"/>
            <w:hideMark/>
          </w:tcPr>
          <w:p w14:paraId="0D504DD7" w14:textId="77777777" w:rsidR="00D750D9" w:rsidRDefault="00D750D9" w:rsidP="00663E62">
            <w:pPr>
              <w:jc w:val="center"/>
              <w:rPr>
                <w:sz w:val="20"/>
                <w:lang w:eastAsia="lt-LT"/>
              </w:rPr>
            </w:pPr>
          </w:p>
        </w:tc>
        <w:tc>
          <w:tcPr>
            <w:tcW w:w="810" w:type="dxa"/>
            <w:tcBorders>
              <w:top w:val="nil"/>
              <w:left w:val="nil"/>
              <w:bottom w:val="nil"/>
              <w:right w:val="single" w:sz="4" w:space="0" w:color="auto"/>
            </w:tcBorders>
            <w:vAlign w:val="center"/>
            <w:hideMark/>
          </w:tcPr>
          <w:p w14:paraId="5CC6DEF6"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54646380"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single" w:sz="4" w:space="0" w:color="auto"/>
            </w:tcBorders>
            <w:vAlign w:val="center"/>
            <w:hideMark/>
          </w:tcPr>
          <w:p w14:paraId="2A4A0110"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74179B4D"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48ADC6AB" w14:textId="77777777" w:rsidR="00D750D9" w:rsidRDefault="00D750D9" w:rsidP="00663E62">
            <w:pPr>
              <w:ind w:firstLine="57"/>
              <w:jc w:val="center"/>
              <w:rPr>
                <w:b/>
                <w:bCs/>
                <w:sz w:val="22"/>
                <w:szCs w:val="22"/>
                <w:lang w:eastAsia="lt-LT"/>
              </w:rPr>
            </w:pPr>
          </w:p>
        </w:tc>
      </w:tr>
      <w:tr w:rsidR="00D750D9" w14:paraId="64B19364" w14:textId="77777777" w:rsidTr="00663E62">
        <w:trPr>
          <w:trHeight w:val="261"/>
        </w:trPr>
        <w:tc>
          <w:tcPr>
            <w:tcW w:w="988" w:type="dxa"/>
            <w:tcBorders>
              <w:top w:val="nil"/>
              <w:left w:val="single" w:sz="4" w:space="0" w:color="auto"/>
              <w:bottom w:val="nil"/>
              <w:right w:val="nil"/>
            </w:tcBorders>
            <w:vAlign w:val="center"/>
            <w:hideMark/>
          </w:tcPr>
          <w:p w14:paraId="434D1F36" w14:textId="77777777" w:rsidR="00D750D9" w:rsidRDefault="00D750D9" w:rsidP="00663E62">
            <w:pPr>
              <w:ind w:firstLine="57"/>
              <w:jc w:val="center"/>
              <w:rPr>
                <w:sz w:val="22"/>
                <w:szCs w:val="22"/>
                <w:lang w:eastAsia="lt-LT"/>
              </w:rPr>
            </w:pPr>
          </w:p>
        </w:tc>
        <w:tc>
          <w:tcPr>
            <w:tcW w:w="1020" w:type="dxa"/>
            <w:tcBorders>
              <w:top w:val="nil"/>
              <w:left w:val="nil"/>
              <w:bottom w:val="nil"/>
              <w:right w:val="nil"/>
            </w:tcBorders>
            <w:vAlign w:val="center"/>
            <w:hideMark/>
          </w:tcPr>
          <w:p w14:paraId="00B33F66" w14:textId="77777777" w:rsidR="00D750D9" w:rsidRDefault="00D750D9" w:rsidP="00663E62">
            <w:pPr>
              <w:jc w:val="center"/>
              <w:rPr>
                <w:sz w:val="22"/>
                <w:szCs w:val="22"/>
                <w:lang w:eastAsia="lt-LT"/>
              </w:rPr>
            </w:pPr>
          </w:p>
        </w:tc>
        <w:tc>
          <w:tcPr>
            <w:tcW w:w="810" w:type="dxa"/>
            <w:tcBorders>
              <w:top w:val="nil"/>
              <w:left w:val="nil"/>
              <w:bottom w:val="nil"/>
              <w:right w:val="nil"/>
            </w:tcBorders>
            <w:vAlign w:val="center"/>
            <w:hideMark/>
          </w:tcPr>
          <w:p w14:paraId="7793EB4B"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00B681C8" w14:textId="77777777" w:rsidR="00D750D9" w:rsidRDefault="00D750D9" w:rsidP="00663E62">
            <w:pPr>
              <w:jc w:val="center"/>
              <w:rPr>
                <w:sz w:val="20"/>
                <w:lang w:eastAsia="lt-LT"/>
              </w:rPr>
            </w:pPr>
          </w:p>
        </w:tc>
        <w:tc>
          <w:tcPr>
            <w:tcW w:w="894" w:type="dxa"/>
            <w:tcBorders>
              <w:top w:val="nil"/>
              <w:left w:val="nil"/>
              <w:bottom w:val="nil"/>
              <w:right w:val="nil"/>
            </w:tcBorders>
            <w:vAlign w:val="center"/>
            <w:hideMark/>
          </w:tcPr>
          <w:p w14:paraId="749D731A" w14:textId="77777777" w:rsidR="00D750D9" w:rsidRDefault="00D750D9" w:rsidP="00663E62">
            <w:pPr>
              <w:jc w:val="center"/>
              <w:rPr>
                <w:sz w:val="20"/>
                <w:lang w:eastAsia="lt-LT"/>
              </w:rPr>
            </w:pPr>
          </w:p>
        </w:tc>
        <w:tc>
          <w:tcPr>
            <w:tcW w:w="810" w:type="dxa"/>
            <w:tcBorders>
              <w:top w:val="nil"/>
              <w:left w:val="nil"/>
              <w:bottom w:val="nil"/>
              <w:right w:val="nil"/>
            </w:tcBorders>
            <w:vAlign w:val="center"/>
            <w:hideMark/>
          </w:tcPr>
          <w:p w14:paraId="5755950C" w14:textId="77777777" w:rsidR="00D750D9" w:rsidRDefault="00D750D9" w:rsidP="00663E62">
            <w:pPr>
              <w:jc w:val="center"/>
              <w:rPr>
                <w:sz w:val="20"/>
                <w:lang w:eastAsia="lt-LT"/>
              </w:rPr>
            </w:pPr>
          </w:p>
        </w:tc>
        <w:tc>
          <w:tcPr>
            <w:tcW w:w="810" w:type="dxa"/>
            <w:tcBorders>
              <w:top w:val="nil"/>
              <w:left w:val="nil"/>
              <w:bottom w:val="nil"/>
              <w:right w:val="nil"/>
            </w:tcBorders>
            <w:vAlign w:val="center"/>
            <w:hideMark/>
          </w:tcPr>
          <w:p w14:paraId="0943C242" w14:textId="77777777" w:rsidR="00D750D9" w:rsidRDefault="00D750D9" w:rsidP="00663E62">
            <w:pPr>
              <w:jc w:val="center"/>
              <w:rPr>
                <w:sz w:val="20"/>
                <w:lang w:eastAsia="lt-LT"/>
              </w:rPr>
            </w:pPr>
          </w:p>
        </w:tc>
        <w:tc>
          <w:tcPr>
            <w:tcW w:w="810" w:type="dxa"/>
            <w:tcBorders>
              <w:top w:val="nil"/>
              <w:left w:val="nil"/>
              <w:bottom w:val="nil"/>
              <w:right w:val="nil"/>
            </w:tcBorders>
            <w:vAlign w:val="center"/>
            <w:hideMark/>
          </w:tcPr>
          <w:p w14:paraId="078009BD" w14:textId="77777777" w:rsidR="00D750D9" w:rsidRDefault="00D750D9" w:rsidP="00663E62">
            <w:pPr>
              <w:jc w:val="center"/>
              <w:rPr>
                <w:sz w:val="20"/>
                <w:lang w:eastAsia="lt-LT"/>
              </w:rPr>
            </w:pPr>
          </w:p>
        </w:tc>
        <w:tc>
          <w:tcPr>
            <w:tcW w:w="742" w:type="dxa"/>
            <w:tcBorders>
              <w:top w:val="nil"/>
              <w:left w:val="single" w:sz="4" w:space="0" w:color="auto"/>
              <w:bottom w:val="single" w:sz="4" w:space="0" w:color="auto"/>
              <w:right w:val="single" w:sz="4" w:space="0" w:color="auto"/>
            </w:tcBorders>
            <w:vAlign w:val="center"/>
            <w:hideMark/>
          </w:tcPr>
          <w:p w14:paraId="56024E22" w14:textId="77777777" w:rsidR="00D750D9" w:rsidRDefault="00D750D9" w:rsidP="00663E62">
            <w:pPr>
              <w:ind w:firstLine="57"/>
              <w:jc w:val="center"/>
              <w:rPr>
                <w:sz w:val="22"/>
                <w:szCs w:val="22"/>
                <w:lang w:eastAsia="lt-LT"/>
              </w:rPr>
            </w:pPr>
          </w:p>
        </w:tc>
        <w:tc>
          <w:tcPr>
            <w:tcW w:w="1063" w:type="dxa"/>
            <w:tcBorders>
              <w:top w:val="nil"/>
              <w:left w:val="nil"/>
              <w:bottom w:val="single" w:sz="4" w:space="0" w:color="auto"/>
              <w:right w:val="single" w:sz="4" w:space="0" w:color="auto"/>
            </w:tcBorders>
            <w:vAlign w:val="center"/>
            <w:hideMark/>
          </w:tcPr>
          <w:p w14:paraId="317C4A37"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0837EDFC" w14:textId="77777777" w:rsidR="00D750D9" w:rsidRDefault="00D750D9" w:rsidP="00663E62">
            <w:pPr>
              <w:ind w:firstLine="57"/>
              <w:jc w:val="center"/>
              <w:rPr>
                <w:b/>
                <w:bCs/>
                <w:sz w:val="22"/>
                <w:szCs w:val="22"/>
                <w:lang w:eastAsia="lt-LT"/>
              </w:rPr>
            </w:pPr>
          </w:p>
        </w:tc>
      </w:tr>
      <w:tr w:rsidR="00D750D9" w14:paraId="40C30833" w14:textId="77777777" w:rsidTr="00663E62">
        <w:trPr>
          <w:trHeight w:val="261"/>
        </w:trPr>
        <w:tc>
          <w:tcPr>
            <w:tcW w:w="988" w:type="dxa"/>
            <w:tcBorders>
              <w:top w:val="nil"/>
              <w:left w:val="single" w:sz="4" w:space="0" w:color="auto"/>
              <w:bottom w:val="single" w:sz="4" w:space="0" w:color="auto"/>
              <w:right w:val="nil"/>
            </w:tcBorders>
            <w:vAlign w:val="center"/>
            <w:hideMark/>
          </w:tcPr>
          <w:p w14:paraId="0B706209" w14:textId="77777777" w:rsidR="00D750D9" w:rsidRDefault="00D750D9" w:rsidP="00663E62">
            <w:pPr>
              <w:ind w:firstLine="57"/>
              <w:jc w:val="center"/>
              <w:rPr>
                <w:sz w:val="22"/>
                <w:szCs w:val="22"/>
                <w:lang w:eastAsia="lt-LT"/>
              </w:rPr>
            </w:pPr>
          </w:p>
        </w:tc>
        <w:tc>
          <w:tcPr>
            <w:tcW w:w="1020" w:type="dxa"/>
            <w:tcBorders>
              <w:top w:val="nil"/>
              <w:left w:val="nil"/>
              <w:bottom w:val="single" w:sz="4" w:space="0" w:color="auto"/>
              <w:right w:val="nil"/>
            </w:tcBorders>
            <w:vAlign w:val="center"/>
            <w:hideMark/>
          </w:tcPr>
          <w:p w14:paraId="716DACA9"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nil"/>
            </w:tcBorders>
            <w:vAlign w:val="center"/>
            <w:hideMark/>
          </w:tcPr>
          <w:p w14:paraId="1785D4D8"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nil"/>
            </w:tcBorders>
            <w:vAlign w:val="center"/>
            <w:hideMark/>
          </w:tcPr>
          <w:p w14:paraId="04432948" w14:textId="77777777" w:rsidR="00D750D9" w:rsidRDefault="00D750D9" w:rsidP="00663E62">
            <w:pPr>
              <w:ind w:firstLine="57"/>
              <w:jc w:val="center"/>
              <w:rPr>
                <w:sz w:val="22"/>
                <w:szCs w:val="22"/>
                <w:lang w:eastAsia="lt-LT"/>
              </w:rPr>
            </w:pPr>
          </w:p>
        </w:tc>
        <w:tc>
          <w:tcPr>
            <w:tcW w:w="894" w:type="dxa"/>
            <w:tcBorders>
              <w:top w:val="nil"/>
              <w:left w:val="nil"/>
              <w:bottom w:val="single" w:sz="4" w:space="0" w:color="auto"/>
              <w:right w:val="nil"/>
            </w:tcBorders>
            <w:vAlign w:val="center"/>
            <w:hideMark/>
          </w:tcPr>
          <w:p w14:paraId="1F935539"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nil"/>
            </w:tcBorders>
            <w:vAlign w:val="center"/>
            <w:hideMark/>
          </w:tcPr>
          <w:p w14:paraId="723929AC"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nil"/>
            </w:tcBorders>
            <w:vAlign w:val="center"/>
            <w:hideMark/>
          </w:tcPr>
          <w:p w14:paraId="16008DA5"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nil"/>
            </w:tcBorders>
            <w:vAlign w:val="center"/>
            <w:hideMark/>
          </w:tcPr>
          <w:p w14:paraId="2E46A49F" w14:textId="77777777" w:rsidR="00D750D9" w:rsidRDefault="00D750D9" w:rsidP="00663E62">
            <w:pPr>
              <w:ind w:firstLine="57"/>
              <w:jc w:val="center"/>
              <w:rPr>
                <w:sz w:val="22"/>
                <w:szCs w:val="22"/>
                <w:lang w:eastAsia="lt-LT"/>
              </w:rPr>
            </w:pPr>
          </w:p>
        </w:tc>
        <w:tc>
          <w:tcPr>
            <w:tcW w:w="742" w:type="dxa"/>
            <w:tcBorders>
              <w:top w:val="nil"/>
              <w:left w:val="nil"/>
              <w:bottom w:val="single" w:sz="4" w:space="0" w:color="auto"/>
              <w:right w:val="nil"/>
            </w:tcBorders>
            <w:vAlign w:val="center"/>
            <w:hideMark/>
          </w:tcPr>
          <w:p w14:paraId="67262BA5" w14:textId="77777777" w:rsidR="00D750D9" w:rsidRDefault="00D750D9" w:rsidP="00663E62">
            <w:pPr>
              <w:ind w:firstLine="57"/>
              <w:jc w:val="center"/>
              <w:rPr>
                <w:sz w:val="22"/>
                <w:szCs w:val="22"/>
                <w:lang w:eastAsia="lt-LT"/>
              </w:rPr>
            </w:pPr>
          </w:p>
        </w:tc>
        <w:tc>
          <w:tcPr>
            <w:tcW w:w="1063" w:type="dxa"/>
            <w:tcBorders>
              <w:top w:val="nil"/>
              <w:left w:val="single" w:sz="4" w:space="0" w:color="auto"/>
              <w:bottom w:val="single" w:sz="4" w:space="0" w:color="auto"/>
              <w:right w:val="single" w:sz="4" w:space="0" w:color="auto"/>
            </w:tcBorders>
            <w:vAlign w:val="center"/>
            <w:hideMark/>
          </w:tcPr>
          <w:p w14:paraId="3E654883" w14:textId="77777777" w:rsidR="00D750D9" w:rsidRDefault="00D750D9" w:rsidP="00663E62">
            <w:pPr>
              <w:ind w:firstLine="57"/>
              <w:jc w:val="center"/>
              <w:rPr>
                <w:sz w:val="22"/>
                <w:szCs w:val="22"/>
                <w:lang w:eastAsia="lt-LT"/>
              </w:rPr>
            </w:pPr>
          </w:p>
        </w:tc>
        <w:tc>
          <w:tcPr>
            <w:tcW w:w="810" w:type="dxa"/>
            <w:tcBorders>
              <w:top w:val="nil"/>
              <w:left w:val="nil"/>
              <w:bottom w:val="single" w:sz="4" w:space="0" w:color="auto"/>
              <w:right w:val="single" w:sz="4" w:space="0" w:color="auto"/>
            </w:tcBorders>
            <w:vAlign w:val="center"/>
            <w:hideMark/>
          </w:tcPr>
          <w:p w14:paraId="4E9B8ED3" w14:textId="77777777" w:rsidR="00D750D9" w:rsidRDefault="00D750D9" w:rsidP="00663E62">
            <w:pPr>
              <w:ind w:firstLine="57"/>
              <w:jc w:val="center"/>
              <w:rPr>
                <w:b/>
                <w:bCs/>
                <w:sz w:val="22"/>
                <w:szCs w:val="22"/>
                <w:lang w:eastAsia="lt-LT"/>
              </w:rPr>
            </w:pPr>
          </w:p>
        </w:tc>
      </w:tr>
    </w:tbl>
    <w:p w14:paraId="151E5450" w14:textId="77777777" w:rsidR="00D750D9" w:rsidRDefault="00D750D9" w:rsidP="00D750D9">
      <w:pPr>
        <w:tabs>
          <w:tab w:val="right" w:pos="9638"/>
        </w:tabs>
        <w:suppressAutoHyphens/>
        <w:ind w:firstLine="709"/>
        <w:jc w:val="both"/>
        <w:textAlignment w:val="center"/>
        <w:rPr>
          <w:color w:val="000000"/>
          <w:szCs w:val="24"/>
        </w:rPr>
      </w:pPr>
    </w:p>
    <w:p w14:paraId="479534FD" w14:textId="77777777" w:rsidR="00D750D9" w:rsidRDefault="00D750D9" w:rsidP="00D750D9">
      <w:pPr>
        <w:tabs>
          <w:tab w:val="right" w:pos="9638"/>
        </w:tabs>
        <w:suppressAutoHyphens/>
        <w:jc w:val="center"/>
        <w:textAlignment w:val="center"/>
        <w:rPr>
          <w:b/>
          <w:color w:val="000000"/>
          <w:szCs w:val="24"/>
        </w:rPr>
      </w:pPr>
      <w:r>
        <w:rPr>
          <w:b/>
          <w:color w:val="000000"/>
          <w:szCs w:val="24"/>
        </w:rPr>
        <w:t>II SKYRIUS</w:t>
      </w:r>
    </w:p>
    <w:p w14:paraId="421EA307" w14:textId="77777777" w:rsidR="00D750D9" w:rsidRDefault="00D750D9" w:rsidP="00D750D9">
      <w:pPr>
        <w:tabs>
          <w:tab w:val="right" w:pos="9638"/>
        </w:tabs>
        <w:suppressAutoHyphens/>
        <w:jc w:val="center"/>
        <w:textAlignment w:val="center"/>
        <w:rPr>
          <w:b/>
          <w:color w:val="000000"/>
          <w:szCs w:val="24"/>
        </w:rPr>
      </w:pPr>
      <w:r>
        <w:rPr>
          <w:b/>
          <w:color w:val="000000"/>
          <w:szCs w:val="24"/>
        </w:rPr>
        <w:t>ŠALIŲ TEISĖS IR PAREIGOS</w:t>
      </w:r>
    </w:p>
    <w:p w14:paraId="2C612A92" w14:textId="77777777" w:rsidR="00D750D9" w:rsidRDefault="00D750D9" w:rsidP="00D750D9">
      <w:pPr>
        <w:tabs>
          <w:tab w:val="right" w:pos="9638"/>
        </w:tabs>
        <w:suppressAutoHyphens/>
        <w:ind w:firstLine="709"/>
        <w:jc w:val="both"/>
        <w:textAlignment w:val="center"/>
        <w:rPr>
          <w:color w:val="000000"/>
          <w:szCs w:val="24"/>
        </w:rPr>
      </w:pPr>
    </w:p>
    <w:p w14:paraId="26AAF384"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 Įmonės teisės ir pareigos:</w:t>
      </w:r>
    </w:p>
    <w:p w14:paraId="074CC594"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3.1. laiku teikti metines ataskaitas;</w:t>
      </w:r>
    </w:p>
    <w:p w14:paraId="27448234"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lastRenderedPageBreak/>
        <w:t xml:space="preserve">3.2. Energetikos ministerijos ar </w:t>
      </w:r>
      <w:r>
        <w:rPr>
          <w:rFonts w:eastAsia="Calibri"/>
          <w:color w:val="000000"/>
          <w:szCs w:val="24"/>
          <w:lang w:eastAsia="lt-LT"/>
        </w:rPr>
        <w:t>įgaliotosios įstaigos</w:t>
      </w:r>
      <w:r>
        <w:rPr>
          <w:color w:val="000000"/>
          <w:szCs w:val="24"/>
        </w:rPr>
        <w:t xml:space="preserve"> prašymu teikti papildomą informaciją, susijusią su šio Susitarimo vykdymu;</w:t>
      </w:r>
    </w:p>
    <w:p w14:paraId="0A43CAA7"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3.3. viešinti apibendrintą informaciją apie pagal šį Susitarimą sutaupytą energiją;</w:t>
      </w:r>
    </w:p>
    <w:p w14:paraId="65C22043"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3.4. konsultuoti galutinius vartotojus energijos taupymo klausimais;</w:t>
      </w:r>
    </w:p>
    <w:p w14:paraId="635CA200"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3.5. siekti energijos sutaupymų pačiai arba per kitus asmenis;</w:t>
      </w:r>
    </w:p>
    <w:p w14:paraId="73BFB6E9"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3.6. inicijuoti ir (ar) dalyvauti įgyvendinant energijos taupymo priemones visose Lietuvos Respublikos ūkio srityse;</w:t>
      </w:r>
    </w:p>
    <w:p w14:paraId="1CD8EB7A"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3.7. sudaryti sutartis su galutiniais vartotojais dėl teisės į sutaupytą energiją;</w:t>
      </w:r>
    </w:p>
    <w:p w14:paraId="48CE7146"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3.8. deklaruoti pačios Įmonės, kaip galutinio vartotojo, sutaupytą energiją Apraše nustatyta tvarka;</w:t>
      </w:r>
    </w:p>
    <w:p w14:paraId="32DC6EFC"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3.9. nedelsiant inicijuoti papildomas energijos taupymo priemones Įmonės viduje ir (ar) visose Lietuvos Respublikos ūkio srityse, jeigu sutaupymo kiekiai vykdomi žemesniu nei pagal grafiką lygiu.</w:t>
      </w:r>
    </w:p>
    <w:p w14:paraId="4D9A8A3F" w14:textId="77777777" w:rsidR="00D750D9" w:rsidRDefault="00D750D9" w:rsidP="00D750D9">
      <w:pPr>
        <w:suppressAutoHyphens/>
        <w:ind w:left="709"/>
        <w:jc w:val="both"/>
        <w:textAlignment w:val="center"/>
        <w:rPr>
          <w:color w:val="000000"/>
          <w:szCs w:val="24"/>
        </w:rPr>
      </w:pPr>
      <w:r>
        <w:rPr>
          <w:color w:val="000000"/>
          <w:szCs w:val="24"/>
        </w:rPr>
        <w:t>4. Energetikos ministerijos teisės ir pareigos:</w:t>
      </w:r>
    </w:p>
    <w:p w14:paraId="3CB65E6A"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4.1. teikti Įmonei konsultacijas šio Susitarimo ir Aprašo taikymo ribose, įskaitant Įmonių konsultavimą dėl konkrečių taupymo priemonių tinkamumo;</w:t>
      </w:r>
    </w:p>
    <w:p w14:paraId="3B50E5F2"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4.2. prašyti Įmonės patikslinti metinę ataskaitą bei reprezentatyviais duomenimis pagrįsti taupymo priemonių vertinimo duomenis;</w:t>
      </w:r>
    </w:p>
    <w:p w14:paraId="29923BCC"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4.3. gauti iš Įmonės su taupymo priemonės įdiegimu susijusius dokumentus ar jų kopijas;</w:t>
      </w:r>
    </w:p>
    <w:p w14:paraId="6A0CD481"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4.4. gauti iš Įmonės kitą informaciją, Lietuvos Respublikos teisės aktais nustatyta tvarka;</w:t>
      </w:r>
    </w:p>
    <w:p w14:paraId="09413913"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 xml:space="preserve">4.5. teikti įgaliotai įstaigai nagrinėti, o </w:t>
      </w:r>
      <w:r>
        <w:t>Valstybinei energetikos reguliavimo tarybai</w:t>
      </w:r>
      <w:r>
        <w:rPr>
          <w:color w:val="000000"/>
          <w:szCs w:val="24"/>
        </w:rPr>
        <w:t>, esant Susitarimo pažeidimui – atsakomybės klausimui spręsti, Įmonių pateiktas ataskaitas, taupymo priemonių vertinimo duomenis, su taupymo priemonės įdiegimu susijusius dokumentus ar jų kopijas;</w:t>
      </w:r>
    </w:p>
    <w:p w14:paraId="26374A12"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4.6. Energetikos ministerija, vadovaudamasi Lietuvos Respublikos energijos vartojimo efektyvumo didinimo įstatymo 22 straipsnio 2 dalimi, prieš perduodama informaciją Valstybinei energetikos reguliavimo tarybai apie galimą šio Susitarimo nevykdymą, raštu informuos Įmonę apie netinkamą šio Susitarimo vykdymą ir nustatys Įmonei ne trumpesnį nei 10 ir ne ilgesnį nei 30 darbo dienų terminą pažeidimams pašalinti;</w:t>
      </w:r>
    </w:p>
    <w:p w14:paraId="322168E9"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4.7. pagal kompetenciją pasirinktais būdais didinti galutinių vartotojų suinteresuotumą, motyvaciją taupyti energiją ir sutaupytą energiją deklaruoti.</w:t>
      </w:r>
    </w:p>
    <w:p w14:paraId="46C27A5A" w14:textId="77777777" w:rsidR="00D750D9" w:rsidRDefault="00D750D9" w:rsidP="00D750D9">
      <w:pPr>
        <w:tabs>
          <w:tab w:val="right" w:pos="9638"/>
        </w:tabs>
        <w:suppressAutoHyphens/>
        <w:ind w:firstLine="709"/>
        <w:jc w:val="both"/>
        <w:textAlignment w:val="center"/>
        <w:rPr>
          <w:color w:val="000000"/>
          <w:szCs w:val="24"/>
        </w:rPr>
      </w:pPr>
    </w:p>
    <w:p w14:paraId="2DDCA204" w14:textId="77777777" w:rsidR="00D750D9" w:rsidRDefault="00D750D9" w:rsidP="00D750D9">
      <w:pPr>
        <w:tabs>
          <w:tab w:val="right" w:pos="9638"/>
        </w:tabs>
        <w:suppressAutoHyphens/>
        <w:jc w:val="center"/>
        <w:textAlignment w:val="center"/>
        <w:rPr>
          <w:b/>
          <w:color w:val="000000"/>
          <w:szCs w:val="24"/>
        </w:rPr>
      </w:pPr>
      <w:r>
        <w:rPr>
          <w:b/>
          <w:color w:val="000000"/>
          <w:szCs w:val="24"/>
        </w:rPr>
        <w:t>III SKYRIUS</w:t>
      </w:r>
    </w:p>
    <w:p w14:paraId="04404CB2" w14:textId="77777777" w:rsidR="00D750D9" w:rsidRDefault="00D750D9" w:rsidP="00D750D9">
      <w:pPr>
        <w:tabs>
          <w:tab w:val="right" w:pos="9638"/>
        </w:tabs>
        <w:suppressAutoHyphens/>
        <w:jc w:val="center"/>
        <w:textAlignment w:val="center"/>
        <w:rPr>
          <w:b/>
          <w:color w:val="000000"/>
          <w:szCs w:val="24"/>
        </w:rPr>
      </w:pPr>
      <w:r>
        <w:rPr>
          <w:b/>
          <w:color w:val="000000"/>
          <w:szCs w:val="24"/>
        </w:rPr>
        <w:t>ATSISKAITYMAS</w:t>
      </w:r>
    </w:p>
    <w:p w14:paraId="31CB08F4" w14:textId="77777777" w:rsidR="00D750D9" w:rsidRDefault="00D750D9" w:rsidP="00D750D9">
      <w:pPr>
        <w:tabs>
          <w:tab w:val="right" w:pos="9638"/>
        </w:tabs>
        <w:suppressAutoHyphens/>
        <w:ind w:firstLine="709"/>
        <w:jc w:val="both"/>
        <w:textAlignment w:val="center"/>
        <w:rPr>
          <w:color w:val="000000"/>
          <w:szCs w:val="24"/>
        </w:rPr>
      </w:pPr>
    </w:p>
    <w:p w14:paraId="55234CA2" w14:textId="77777777" w:rsidR="00D750D9" w:rsidRDefault="00D750D9" w:rsidP="00D750D9">
      <w:pPr>
        <w:tabs>
          <w:tab w:val="right" w:pos="9638"/>
        </w:tabs>
        <w:suppressAutoHyphens/>
        <w:ind w:firstLine="691"/>
        <w:jc w:val="both"/>
        <w:textAlignment w:val="center"/>
        <w:rPr>
          <w:color w:val="000000"/>
          <w:szCs w:val="24"/>
        </w:rPr>
      </w:pPr>
      <w:r>
        <w:rPr>
          <w:color w:val="000000"/>
          <w:szCs w:val="24"/>
        </w:rPr>
        <w:t xml:space="preserve">5. Įmonės periodiškai atsiskaito Energetikos ministerijai ir </w:t>
      </w:r>
      <w:r>
        <w:rPr>
          <w:rFonts w:eastAsia="Calibri"/>
          <w:color w:val="000000"/>
          <w:szCs w:val="24"/>
          <w:lang w:eastAsia="lt-LT"/>
        </w:rPr>
        <w:t>įgaliotajai įstaigai</w:t>
      </w:r>
      <w:r>
        <w:rPr>
          <w:color w:val="000000"/>
          <w:szCs w:val="24"/>
        </w:rPr>
        <w:t xml:space="preserve"> pagal Aprašo reikalavimus.</w:t>
      </w:r>
    </w:p>
    <w:p w14:paraId="463FD471" w14:textId="77777777" w:rsidR="00D750D9" w:rsidRDefault="00D750D9" w:rsidP="00D750D9">
      <w:pPr>
        <w:tabs>
          <w:tab w:val="right" w:pos="9638"/>
        </w:tabs>
        <w:suppressAutoHyphens/>
        <w:jc w:val="both"/>
        <w:textAlignment w:val="center"/>
        <w:rPr>
          <w:color w:val="000000"/>
          <w:szCs w:val="24"/>
        </w:rPr>
      </w:pPr>
    </w:p>
    <w:p w14:paraId="19C5DAFB" w14:textId="77777777" w:rsidR="00D750D9" w:rsidRDefault="00D750D9" w:rsidP="00D750D9">
      <w:pPr>
        <w:tabs>
          <w:tab w:val="right" w:pos="9638"/>
        </w:tabs>
        <w:suppressAutoHyphens/>
        <w:jc w:val="center"/>
        <w:textAlignment w:val="center"/>
        <w:rPr>
          <w:b/>
          <w:color w:val="000000"/>
          <w:szCs w:val="24"/>
        </w:rPr>
      </w:pPr>
      <w:r>
        <w:rPr>
          <w:b/>
          <w:color w:val="000000"/>
          <w:szCs w:val="24"/>
        </w:rPr>
        <w:t>IV SKYRIUS</w:t>
      </w:r>
    </w:p>
    <w:p w14:paraId="566E8030" w14:textId="77777777" w:rsidR="00D750D9" w:rsidRDefault="00D750D9" w:rsidP="00D750D9">
      <w:pPr>
        <w:tabs>
          <w:tab w:val="right" w:pos="9638"/>
        </w:tabs>
        <w:suppressAutoHyphens/>
        <w:jc w:val="center"/>
        <w:textAlignment w:val="center"/>
        <w:rPr>
          <w:b/>
          <w:color w:val="000000"/>
          <w:szCs w:val="24"/>
        </w:rPr>
      </w:pPr>
      <w:r>
        <w:rPr>
          <w:b/>
          <w:color w:val="000000"/>
          <w:szCs w:val="24"/>
        </w:rPr>
        <w:t>SUSITARIMO GALIOJIMAS, PAKEITIMAS IR NUTRAUKIMAS</w:t>
      </w:r>
    </w:p>
    <w:p w14:paraId="68388355" w14:textId="77777777" w:rsidR="00D750D9" w:rsidRDefault="00D750D9" w:rsidP="00D750D9">
      <w:pPr>
        <w:tabs>
          <w:tab w:val="right" w:pos="9638"/>
        </w:tabs>
        <w:suppressAutoHyphens/>
        <w:ind w:firstLine="709"/>
        <w:jc w:val="both"/>
        <w:textAlignment w:val="center"/>
        <w:rPr>
          <w:color w:val="000000"/>
          <w:szCs w:val="24"/>
        </w:rPr>
      </w:pPr>
    </w:p>
    <w:p w14:paraId="5B13422C"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6. Susitarimas įsigalioja nuo jo pasirašymo dienos. Jeigu Susitarimas Šalių pasirašomas ne tą pačią dieną, laikoma, kad susitarimas įsigalioja tą dieną, kai jį pasirašo antroji šalis.</w:t>
      </w:r>
    </w:p>
    <w:p w14:paraId="0CDE7A37"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7.  Susitarimas galioja iki 2031 m. gruodžio 31 d.</w:t>
      </w:r>
    </w:p>
    <w:p w14:paraId="4E03367E"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8. Susitarimas gali būti keičiamas, papildomas ir (ar) pratęsiamas tik rašytiniu abiejų Šalių susitarimu.</w:t>
      </w:r>
    </w:p>
    <w:p w14:paraId="6C4E678C" w14:textId="77777777" w:rsidR="00D750D9" w:rsidRDefault="00D750D9" w:rsidP="00D750D9">
      <w:pPr>
        <w:tabs>
          <w:tab w:val="right" w:pos="9638"/>
          <w:tab w:val="right" w:pos="9808"/>
        </w:tabs>
        <w:suppressAutoHyphens/>
        <w:textAlignment w:val="center"/>
        <w:rPr>
          <w:b/>
          <w:color w:val="000000"/>
          <w:szCs w:val="24"/>
        </w:rPr>
      </w:pPr>
    </w:p>
    <w:p w14:paraId="16E755A8" w14:textId="77777777" w:rsidR="00D750D9" w:rsidRDefault="00D750D9" w:rsidP="00D750D9">
      <w:pPr>
        <w:tabs>
          <w:tab w:val="right" w:pos="9638"/>
          <w:tab w:val="right" w:pos="9808"/>
        </w:tabs>
        <w:suppressAutoHyphens/>
        <w:jc w:val="center"/>
        <w:textAlignment w:val="center"/>
        <w:rPr>
          <w:b/>
          <w:color w:val="000000"/>
          <w:szCs w:val="24"/>
        </w:rPr>
      </w:pPr>
      <w:r>
        <w:rPr>
          <w:b/>
          <w:color w:val="000000"/>
          <w:szCs w:val="24"/>
        </w:rPr>
        <w:t>V SKYRIUS</w:t>
      </w:r>
    </w:p>
    <w:p w14:paraId="43CDC1CF" w14:textId="77777777" w:rsidR="00D750D9" w:rsidRDefault="00D750D9" w:rsidP="00D750D9">
      <w:pPr>
        <w:tabs>
          <w:tab w:val="right" w:pos="9638"/>
          <w:tab w:val="right" w:pos="9808"/>
        </w:tabs>
        <w:suppressAutoHyphens/>
        <w:jc w:val="center"/>
        <w:textAlignment w:val="center"/>
        <w:rPr>
          <w:b/>
          <w:color w:val="000000"/>
          <w:szCs w:val="24"/>
        </w:rPr>
      </w:pPr>
      <w:r>
        <w:rPr>
          <w:b/>
          <w:color w:val="000000"/>
          <w:szCs w:val="24"/>
        </w:rPr>
        <w:t>NENUGALIMOS JĖGOS APLINKYBĖS</w:t>
      </w:r>
    </w:p>
    <w:p w14:paraId="4790E962" w14:textId="77777777" w:rsidR="00D750D9" w:rsidRDefault="00D750D9" w:rsidP="00D750D9">
      <w:pPr>
        <w:tabs>
          <w:tab w:val="right" w:pos="9638"/>
          <w:tab w:val="right" w:pos="9808"/>
        </w:tabs>
        <w:suppressAutoHyphens/>
        <w:ind w:firstLine="709"/>
        <w:jc w:val="both"/>
        <w:textAlignment w:val="center"/>
        <w:rPr>
          <w:color w:val="000000"/>
          <w:szCs w:val="24"/>
        </w:rPr>
      </w:pPr>
    </w:p>
    <w:p w14:paraId="1D561D82" w14:textId="77777777" w:rsidR="00D750D9" w:rsidRDefault="00D750D9" w:rsidP="00D750D9">
      <w:pPr>
        <w:tabs>
          <w:tab w:val="right" w:pos="9638"/>
          <w:tab w:val="right" w:pos="9808"/>
        </w:tabs>
        <w:suppressAutoHyphens/>
        <w:ind w:firstLine="709"/>
        <w:jc w:val="both"/>
        <w:textAlignment w:val="center"/>
        <w:rPr>
          <w:color w:val="000000"/>
          <w:szCs w:val="24"/>
        </w:rPr>
      </w:pPr>
      <w:r>
        <w:rPr>
          <w:color w:val="000000"/>
          <w:szCs w:val="24"/>
        </w:rPr>
        <w:lastRenderedPageBreak/>
        <w:t>9. </w:t>
      </w:r>
      <w:r>
        <w:rPr>
          <w:szCs w:val="24"/>
        </w:rPr>
        <w:t>Šalys atleidžiamos nuo atsakomybės už visišką ar dalinį savo įsipareigojimų pagal Susitarimą neįvykdymą, jeigu įrodo, kad tai įvyko dėl aplinkybių, kurių jos negalėjo kontroliuoti bei protingai numatyti Susitarimo sudarymo metu ir, kad negalėjo užkirsti kelio šių aplinkybių ar jų pasekmių atsiradimui (nenugalimos jėgos aplinkybės). Šalys nenugalimos jėgos (</w:t>
      </w:r>
      <w:r>
        <w:rPr>
          <w:i/>
          <w:iCs/>
          <w:szCs w:val="24"/>
        </w:rPr>
        <w:t>force majeure</w:t>
      </w:r>
      <w:r>
        <w:rPr>
          <w:szCs w:val="24"/>
        </w:rPr>
        <w:t>) aplinkybes supranta taip, kaip jos apibrėžtos Lietuvos Respublikos civilinio kodekso 6.212 straipsnyje ir Atleidimo nuo atsakomybės esant nenugalimos jėgos (</w:t>
      </w:r>
      <w:r>
        <w:rPr>
          <w:i/>
          <w:iCs/>
          <w:szCs w:val="24"/>
        </w:rPr>
        <w:t>force majeure</w:t>
      </w:r>
      <w:r>
        <w:rPr>
          <w:szCs w:val="24"/>
        </w:rPr>
        <w:t>) aplinkybėms taisyklėse, patvirtintose Lietuvos Respublikos Vyriausybės 1996 m. liepos 15 d. nutarimu Nr. 840 „Dėl Atleidimo nuo atsakomybės esant nenugalimos jėgos (</w:t>
      </w:r>
      <w:r>
        <w:rPr>
          <w:i/>
          <w:iCs/>
          <w:szCs w:val="24"/>
        </w:rPr>
        <w:t>force majeure</w:t>
      </w:r>
      <w:r>
        <w:rPr>
          <w:szCs w:val="24"/>
        </w:rPr>
        <w:t>) aplinkybėms taisyklių patvirtinimo” tiek, kiek jos neprieštarauja Lietuvos Respublikos civiliniam kodeksui.</w:t>
      </w:r>
    </w:p>
    <w:p w14:paraId="0BB6D3F4" w14:textId="77777777" w:rsidR="00D750D9" w:rsidRDefault="00D750D9" w:rsidP="00D750D9">
      <w:pPr>
        <w:tabs>
          <w:tab w:val="right" w:pos="9638"/>
          <w:tab w:val="right" w:pos="9808"/>
        </w:tabs>
        <w:suppressAutoHyphens/>
        <w:ind w:firstLine="709"/>
        <w:jc w:val="both"/>
        <w:textAlignment w:val="center"/>
        <w:rPr>
          <w:color w:val="000000"/>
          <w:szCs w:val="24"/>
        </w:rPr>
      </w:pPr>
      <w:r>
        <w:rPr>
          <w:color w:val="000000"/>
          <w:szCs w:val="24"/>
        </w:rPr>
        <w:t>10. Susitarimo Šalis, kuri dėl nenugalimos jėgos aplinkybių negali įvykdyti prisiimtų įsipareigojimų, privalo ne vėliau kaip per 15 kalendorinių dienų nuo sužinojimo apie tokias aplinkybes dienos informuoti apie tai kitą Susitarimo Šalį. Pavėluotas ar netinkamas kitos Šalies informavimas ar informacijos nepateikimas atima iš jos teisę remtis nenugalimos jėgos aplinkybėmis kaip pagrindu, atleidžiančiu nuo atsakomybės dėl ne laiku ar netinkamo prisiimtų įsipareigojimų vykdymo ar nevykdymo.</w:t>
      </w:r>
    </w:p>
    <w:p w14:paraId="7FEDF54E" w14:textId="77777777" w:rsidR="00D750D9" w:rsidRDefault="00D750D9" w:rsidP="00D750D9">
      <w:pPr>
        <w:keepNext/>
        <w:tabs>
          <w:tab w:val="right" w:pos="9638"/>
        </w:tabs>
        <w:suppressAutoHyphens/>
        <w:jc w:val="center"/>
        <w:textAlignment w:val="center"/>
        <w:rPr>
          <w:b/>
          <w:color w:val="000000"/>
          <w:szCs w:val="24"/>
        </w:rPr>
      </w:pPr>
      <w:r>
        <w:rPr>
          <w:b/>
          <w:color w:val="000000"/>
          <w:szCs w:val="24"/>
        </w:rPr>
        <w:t>VI SKYRIUS</w:t>
      </w:r>
    </w:p>
    <w:p w14:paraId="66E89DFB" w14:textId="77777777" w:rsidR="00D750D9" w:rsidRDefault="00D750D9" w:rsidP="00D750D9">
      <w:pPr>
        <w:keepNext/>
        <w:tabs>
          <w:tab w:val="right" w:pos="9638"/>
        </w:tabs>
        <w:suppressAutoHyphens/>
        <w:jc w:val="center"/>
        <w:textAlignment w:val="center"/>
        <w:rPr>
          <w:b/>
          <w:color w:val="000000"/>
          <w:szCs w:val="24"/>
        </w:rPr>
      </w:pPr>
      <w:r>
        <w:rPr>
          <w:b/>
          <w:color w:val="000000"/>
          <w:szCs w:val="24"/>
        </w:rPr>
        <w:t>BAIGIAMOSIOS NUOSTATOS</w:t>
      </w:r>
    </w:p>
    <w:p w14:paraId="05018EB6" w14:textId="77777777" w:rsidR="00D750D9" w:rsidRDefault="00D750D9" w:rsidP="00D750D9">
      <w:pPr>
        <w:keepNext/>
        <w:tabs>
          <w:tab w:val="right" w:pos="9638"/>
        </w:tabs>
        <w:suppressAutoHyphens/>
        <w:ind w:firstLine="709"/>
        <w:jc w:val="both"/>
        <w:textAlignment w:val="center"/>
        <w:rPr>
          <w:color w:val="000000"/>
          <w:szCs w:val="24"/>
        </w:rPr>
      </w:pPr>
    </w:p>
    <w:p w14:paraId="27CC9E81"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11. Susitarime vartojamos sąvokos suprantamos taip, kaip nurodyta Apraše.</w:t>
      </w:r>
    </w:p>
    <w:p w14:paraId="6FE99227"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12. Vienos Šalies kitai Šaliai teikiama informacija, pranešimai, įspėjimai, susiję su šio Susitarimo vykdymu, turi būti pateikiami kitai Šaliai raštu.</w:t>
      </w:r>
    </w:p>
    <w:p w14:paraId="6E98D375"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13. Pasikeitus Šalių adresams, telefonų numeriams, elektroninio pašto adresams, Šalys įsipareigoja apie tai nedelsdamos informuoti viena kitą.</w:t>
      </w:r>
    </w:p>
    <w:p w14:paraId="77F521EB"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14. Visi su šiuo Susitarimu susiję ginčai spendžiami Lietuvos Respublikos teisės aktų nustatyta tvarka.</w:t>
      </w:r>
    </w:p>
    <w:p w14:paraId="12231C4D"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15. Susitarimas sudarytas dviem egzemplioriais, po vieną kiekvienai Susitarimo šaliai.</w:t>
      </w:r>
    </w:p>
    <w:p w14:paraId="6801670C" w14:textId="77777777" w:rsidR="00D750D9" w:rsidRDefault="00D750D9" w:rsidP="00D750D9">
      <w:pPr>
        <w:tabs>
          <w:tab w:val="right" w:pos="9638"/>
        </w:tabs>
        <w:suppressAutoHyphens/>
        <w:ind w:firstLine="709"/>
        <w:jc w:val="both"/>
        <w:textAlignment w:val="center"/>
        <w:rPr>
          <w:color w:val="000000"/>
          <w:szCs w:val="24"/>
        </w:rPr>
      </w:pPr>
      <w:r>
        <w:rPr>
          <w:color w:val="000000"/>
          <w:szCs w:val="24"/>
        </w:rPr>
        <w:t>16. Šalių parašai ir rekvizitai:</w:t>
      </w:r>
    </w:p>
    <w:p w14:paraId="18DB3697" w14:textId="77777777" w:rsidR="00D750D9" w:rsidRDefault="00D750D9" w:rsidP="00D750D9">
      <w:pPr>
        <w:tabs>
          <w:tab w:val="right" w:pos="9638"/>
        </w:tabs>
        <w:suppressAutoHyphens/>
        <w:ind w:firstLine="709"/>
        <w:jc w:val="both"/>
        <w:textAlignment w:val="cente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750D9" w14:paraId="53557AF4" w14:textId="77777777" w:rsidTr="00663E62">
        <w:tc>
          <w:tcPr>
            <w:tcW w:w="4814" w:type="dxa"/>
          </w:tcPr>
          <w:p w14:paraId="2CCA02AB" w14:textId="77777777" w:rsidR="00D750D9" w:rsidRDefault="00D750D9" w:rsidP="00663E62">
            <w:pPr>
              <w:tabs>
                <w:tab w:val="right" w:pos="9638"/>
              </w:tabs>
              <w:suppressAutoHyphens/>
              <w:jc w:val="both"/>
              <w:textAlignment w:val="center"/>
              <w:rPr>
                <w:color w:val="000000"/>
                <w:szCs w:val="24"/>
              </w:rPr>
            </w:pPr>
            <w:r>
              <w:rPr>
                <w:color w:val="000000"/>
                <w:szCs w:val="24"/>
              </w:rPr>
              <w:t>Lietuvos Respublikos energetikos ministerija</w:t>
            </w:r>
          </w:p>
          <w:p w14:paraId="5CD51C5B"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Gedimino pr. 38, LT-01104 Vilnius</w:t>
            </w:r>
          </w:p>
          <w:p w14:paraId="76ADBEC6"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Tel. +370 706 64715</w:t>
            </w:r>
          </w:p>
          <w:p w14:paraId="027CAB78"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el. p. info@enmin.lt</w:t>
            </w:r>
          </w:p>
          <w:p w14:paraId="03CABFB0"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Kodas 302308327</w:t>
            </w:r>
          </w:p>
          <w:p w14:paraId="1428730C" w14:textId="77777777" w:rsidR="00D750D9" w:rsidRDefault="00D750D9" w:rsidP="00663E62">
            <w:pPr>
              <w:tabs>
                <w:tab w:val="right" w:pos="9638"/>
                <w:tab w:val="right" w:pos="9808"/>
              </w:tabs>
              <w:suppressAutoHyphens/>
              <w:jc w:val="both"/>
              <w:textAlignment w:val="center"/>
              <w:rPr>
                <w:color w:val="000000"/>
                <w:szCs w:val="24"/>
              </w:rPr>
            </w:pPr>
          </w:p>
          <w:p w14:paraId="6ED24EFE"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w:t>
            </w:r>
            <w:r>
              <w:rPr>
                <w:i/>
                <w:color w:val="000000"/>
                <w:szCs w:val="24"/>
              </w:rPr>
              <w:t>Pareigos, vardas, pavardė</w:t>
            </w:r>
            <w:r>
              <w:rPr>
                <w:color w:val="000000"/>
                <w:szCs w:val="24"/>
              </w:rPr>
              <w:t>]</w:t>
            </w:r>
          </w:p>
          <w:p w14:paraId="152D4759" w14:textId="77777777" w:rsidR="00D750D9" w:rsidRDefault="00D750D9" w:rsidP="00663E62">
            <w:pPr>
              <w:tabs>
                <w:tab w:val="right" w:pos="9638"/>
                <w:tab w:val="right" w:pos="9808"/>
              </w:tabs>
              <w:suppressAutoHyphens/>
              <w:jc w:val="both"/>
              <w:textAlignment w:val="center"/>
              <w:rPr>
                <w:color w:val="000000"/>
                <w:szCs w:val="24"/>
              </w:rPr>
            </w:pPr>
          </w:p>
          <w:p w14:paraId="0516CDC5"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w:t>
            </w:r>
            <w:r>
              <w:rPr>
                <w:i/>
                <w:color w:val="000000"/>
                <w:szCs w:val="24"/>
              </w:rPr>
              <w:t>Pasirašymo data</w:t>
            </w:r>
            <w:r>
              <w:rPr>
                <w:color w:val="000000"/>
                <w:szCs w:val="24"/>
              </w:rPr>
              <w:t>]</w:t>
            </w:r>
          </w:p>
        </w:tc>
        <w:tc>
          <w:tcPr>
            <w:tcW w:w="4814" w:type="dxa"/>
          </w:tcPr>
          <w:p w14:paraId="56E0A707" w14:textId="77777777" w:rsidR="00D750D9" w:rsidRDefault="00D750D9" w:rsidP="00663E62">
            <w:pPr>
              <w:tabs>
                <w:tab w:val="right" w:pos="9638"/>
              </w:tabs>
              <w:suppressAutoHyphens/>
              <w:jc w:val="both"/>
              <w:textAlignment w:val="center"/>
              <w:rPr>
                <w:color w:val="000000"/>
                <w:szCs w:val="24"/>
              </w:rPr>
            </w:pPr>
            <w:r>
              <w:rPr>
                <w:color w:val="000000"/>
                <w:szCs w:val="24"/>
              </w:rPr>
              <w:t>[</w:t>
            </w:r>
            <w:r>
              <w:rPr>
                <w:i/>
                <w:color w:val="000000"/>
                <w:szCs w:val="24"/>
              </w:rPr>
              <w:t>Įmonės pavadinimas</w:t>
            </w:r>
            <w:r>
              <w:rPr>
                <w:color w:val="000000"/>
                <w:szCs w:val="24"/>
              </w:rPr>
              <w:t>]</w:t>
            </w:r>
          </w:p>
          <w:p w14:paraId="037494AF" w14:textId="77777777" w:rsidR="00D750D9" w:rsidRDefault="00D750D9" w:rsidP="00663E62">
            <w:pPr>
              <w:tabs>
                <w:tab w:val="right" w:pos="9638"/>
              </w:tabs>
              <w:suppressAutoHyphens/>
              <w:jc w:val="both"/>
              <w:textAlignment w:val="center"/>
              <w:rPr>
                <w:color w:val="000000"/>
                <w:szCs w:val="24"/>
              </w:rPr>
            </w:pPr>
          </w:p>
          <w:p w14:paraId="2A78A896" w14:textId="77777777" w:rsidR="00D750D9" w:rsidRDefault="00D750D9" w:rsidP="00663E62">
            <w:pPr>
              <w:tabs>
                <w:tab w:val="right" w:pos="9638"/>
              </w:tabs>
              <w:suppressAutoHyphens/>
              <w:jc w:val="both"/>
              <w:textAlignment w:val="center"/>
              <w:rPr>
                <w:color w:val="000000"/>
                <w:szCs w:val="24"/>
              </w:rPr>
            </w:pPr>
            <w:r>
              <w:rPr>
                <w:color w:val="000000"/>
                <w:szCs w:val="24"/>
              </w:rPr>
              <w:t>[</w:t>
            </w:r>
            <w:r>
              <w:rPr>
                <w:i/>
                <w:color w:val="000000"/>
                <w:szCs w:val="24"/>
              </w:rPr>
              <w:t>Adresas, kontaktai, kodas</w:t>
            </w:r>
            <w:r>
              <w:rPr>
                <w:color w:val="000000"/>
                <w:szCs w:val="24"/>
              </w:rPr>
              <w:t>]</w:t>
            </w:r>
          </w:p>
          <w:p w14:paraId="71E84001" w14:textId="77777777" w:rsidR="00D750D9" w:rsidRDefault="00D750D9" w:rsidP="00663E62">
            <w:pPr>
              <w:tabs>
                <w:tab w:val="right" w:pos="9638"/>
              </w:tabs>
              <w:suppressAutoHyphens/>
              <w:jc w:val="both"/>
              <w:textAlignment w:val="center"/>
              <w:rPr>
                <w:color w:val="000000"/>
                <w:szCs w:val="24"/>
              </w:rPr>
            </w:pPr>
          </w:p>
          <w:p w14:paraId="75EC6B6F" w14:textId="77777777" w:rsidR="00D750D9" w:rsidRDefault="00D750D9" w:rsidP="00663E62">
            <w:pPr>
              <w:tabs>
                <w:tab w:val="right" w:pos="9638"/>
              </w:tabs>
              <w:suppressAutoHyphens/>
              <w:jc w:val="both"/>
              <w:textAlignment w:val="center"/>
              <w:rPr>
                <w:color w:val="000000"/>
                <w:szCs w:val="24"/>
              </w:rPr>
            </w:pPr>
            <w:r>
              <w:rPr>
                <w:color w:val="000000"/>
                <w:szCs w:val="24"/>
              </w:rPr>
              <w:t>[</w:t>
            </w:r>
            <w:r>
              <w:rPr>
                <w:i/>
                <w:color w:val="000000"/>
                <w:szCs w:val="24"/>
              </w:rPr>
              <w:t>Pasirašančiojo pareigos, vardas, pavardė</w:t>
            </w:r>
            <w:r>
              <w:rPr>
                <w:color w:val="000000"/>
                <w:szCs w:val="24"/>
              </w:rPr>
              <w:t>]</w:t>
            </w:r>
          </w:p>
          <w:p w14:paraId="09E271F2" w14:textId="77777777" w:rsidR="00D750D9" w:rsidRDefault="00D750D9" w:rsidP="00663E62">
            <w:pPr>
              <w:tabs>
                <w:tab w:val="right" w:pos="9638"/>
                <w:tab w:val="right" w:pos="9808"/>
              </w:tabs>
              <w:suppressAutoHyphens/>
              <w:jc w:val="both"/>
              <w:textAlignment w:val="center"/>
              <w:rPr>
                <w:color w:val="000000"/>
                <w:szCs w:val="24"/>
              </w:rPr>
            </w:pPr>
          </w:p>
          <w:p w14:paraId="4F3A04B0" w14:textId="77777777" w:rsidR="00D750D9" w:rsidRDefault="00D750D9" w:rsidP="00663E62">
            <w:pPr>
              <w:tabs>
                <w:tab w:val="right" w:pos="9638"/>
                <w:tab w:val="right" w:pos="9808"/>
              </w:tabs>
              <w:suppressAutoHyphens/>
              <w:jc w:val="both"/>
              <w:textAlignment w:val="center"/>
              <w:rPr>
                <w:color w:val="000000"/>
                <w:szCs w:val="24"/>
              </w:rPr>
            </w:pPr>
            <w:r>
              <w:rPr>
                <w:color w:val="000000"/>
                <w:szCs w:val="24"/>
              </w:rPr>
              <w:t>[</w:t>
            </w:r>
            <w:r>
              <w:rPr>
                <w:i/>
                <w:color w:val="000000"/>
                <w:szCs w:val="24"/>
              </w:rPr>
              <w:t>Pasirašymo data</w:t>
            </w:r>
            <w:r>
              <w:rPr>
                <w:color w:val="000000"/>
                <w:szCs w:val="24"/>
              </w:rPr>
              <w:t>]</w:t>
            </w:r>
          </w:p>
          <w:p w14:paraId="7FD2C17B" w14:textId="77777777" w:rsidR="00D750D9" w:rsidRDefault="00D750D9" w:rsidP="00663E62">
            <w:pPr>
              <w:tabs>
                <w:tab w:val="right" w:pos="9638"/>
              </w:tabs>
              <w:suppressAutoHyphens/>
              <w:jc w:val="both"/>
              <w:textAlignment w:val="center"/>
              <w:rPr>
                <w:color w:val="000000"/>
                <w:szCs w:val="24"/>
              </w:rPr>
            </w:pPr>
          </w:p>
        </w:tc>
      </w:tr>
    </w:tbl>
    <w:p w14:paraId="4CE09327" w14:textId="77777777" w:rsidR="00D309C9" w:rsidRDefault="00D309C9"/>
    <w:sectPr w:rsidR="00D309C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D9"/>
    <w:rsid w:val="0025247D"/>
    <w:rsid w:val="004D6024"/>
    <w:rsid w:val="0073392D"/>
    <w:rsid w:val="00D309C9"/>
    <w:rsid w:val="00D75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72D0"/>
  <w15:chartTrackingRefBased/>
  <w15:docId w15:val="{A6BED015-F7E4-41DB-8E7D-C2BD0C19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0D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750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50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50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50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750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750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750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750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750D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0D9"/>
    <w:rPr>
      <w:rFonts w:eastAsiaTheme="majorEastAsia" w:cstheme="majorBidi"/>
      <w:color w:val="272727" w:themeColor="text1" w:themeTint="D8"/>
    </w:rPr>
  </w:style>
  <w:style w:type="paragraph" w:styleId="Title">
    <w:name w:val="Title"/>
    <w:basedOn w:val="Normal"/>
    <w:next w:val="Normal"/>
    <w:link w:val="TitleChar"/>
    <w:uiPriority w:val="10"/>
    <w:qFormat/>
    <w:rsid w:val="00D750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5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0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5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0D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750D9"/>
    <w:rPr>
      <w:i/>
      <w:iCs/>
      <w:color w:val="404040" w:themeColor="text1" w:themeTint="BF"/>
    </w:rPr>
  </w:style>
  <w:style w:type="paragraph" w:styleId="ListParagraph">
    <w:name w:val="List Paragraph"/>
    <w:basedOn w:val="Normal"/>
    <w:uiPriority w:val="34"/>
    <w:qFormat/>
    <w:rsid w:val="00D750D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750D9"/>
    <w:rPr>
      <w:i/>
      <w:iCs/>
      <w:color w:val="0F4761" w:themeColor="accent1" w:themeShade="BF"/>
    </w:rPr>
  </w:style>
  <w:style w:type="paragraph" w:styleId="IntenseQuote">
    <w:name w:val="Intense Quote"/>
    <w:basedOn w:val="Normal"/>
    <w:next w:val="Normal"/>
    <w:link w:val="IntenseQuoteChar"/>
    <w:uiPriority w:val="30"/>
    <w:qFormat/>
    <w:rsid w:val="00D750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750D9"/>
    <w:rPr>
      <w:i/>
      <w:iCs/>
      <w:color w:val="0F4761" w:themeColor="accent1" w:themeShade="BF"/>
    </w:rPr>
  </w:style>
  <w:style w:type="character" w:styleId="IntenseReference">
    <w:name w:val="Intense Reference"/>
    <w:basedOn w:val="DefaultParagraphFont"/>
    <w:uiPriority w:val="32"/>
    <w:qFormat/>
    <w:rsid w:val="00D750D9"/>
    <w:rPr>
      <w:b/>
      <w:bCs/>
      <w:smallCaps/>
      <w:color w:val="0F4761" w:themeColor="accent1" w:themeShade="BF"/>
      <w:spacing w:val="5"/>
    </w:rPr>
  </w:style>
  <w:style w:type="paragraph" w:styleId="Revision">
    <w:name w:val="Revision"/>
    <w:hidden/>
    <w:uiPriority w:val="99"/>
    <w:semiHidden/>
    <w:rsid w:val="0025247D"/>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4509</Words>
  <Characters>2571</Characters>
  <Application>Microsoft Office Word</Application>
  <DocSecurity>0</DocSecurity>
  <Lines>21</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Bagdonavičius</dc:creator>
  <cp:keywords/>
  <dc:description/>
  <cp:lastModifiedBy>Linas Bagdonavičius</cp:lastModifiedBy>
  <cp:revision>2</cp:revision>
  <dcterms:created xsi:type="dcterms:W3CDTF">2026-03-09T08:47:00Z</dcterms:created>
  <dcterms:modified xsi:type="dcterms:W3CDTF">2026-03-10T09:28:00Z</dcterms:modified>
</cp:coreProperties>
</file>